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70"/>
        <w:spacing w:line="360" w:lineRule="auto"/>
        <w:rPr>
          <w:sz w:val="60"/>
          <w:szCs w:val="60"/>
        </w:rPr>
      </w:pPr>
      <w:r>
        <w:rPr>
          <w:sz w:val="60"/>
          <w:szCs w:val="60"/>
        </w:rPr>
      </w:r>
      <w:r/>
    </w:p>
    <w:p>
      <w:pPr>
        <w:pStyle w:val="1270"/>
        <w:jc w:val="center"/>
        <w:spacing w:line="360" w:lineRule="auto"/>
        <w:rPr>
          <w:b/>
          <w:bCs/>
          <w:sz w:val="60"/>
          <w:szCs w:val="60"/>
        </w:rPr>
      </w:pPr>
      <w:r>
        <w:rPr>
          <w:b/>
          <w:bCs/>
          <w:sz w:val="60"/>
          <w:szCs w:val="60"/>
        </w:rPr>
        <w:t xml:space="preserve">常州市政府采购项目</w:t>
      </w:r>
      <w:r>
        <w:rPr>
          <w:b/>
          <w:bCs/>
          <w:sz w:val="60"/>
          <w:szCs w:val="60"/>
        </w:rPr>
      </w:r>
      <w:r/>
    </w:p>
    <w:p>
      <w:pPr>
        <w:pStyle w:val="1270"/>
        <w:jc w:val="center"/>
        <w:spacing w:line="360" w:lineRule="auto"/>
        <w:rPr>
          <w:b/>
          <w:bCs/>
          <w:sz w:val="60"/>
          <w:szCs w:val="60"/>
        </w:rPr>
      </w:pPr>
      <w:r>
        <w:rPr>
          <w:b/>
          <w:bCs/>
          <w:sz w:val="60"/>
          <w:szCs w:val="60"/>
        </w:rPr>
        <w:t xml:space="preserve">竞争性磋商文件</w:t>
      </w:r>
      <w:r>
        <w:rPr>
          <w:b/>
          <w:bCs/>
          <w:sz w:val="60"/>
          <w:szCs w:val="60"/>
        </w:rPr>
      </w:r>
      <w:r/>
    </w:p>
    <w:p>
      <w:pPr>
        <w:pStyle w:val="1270"/>
        <w:jc w:val="center"/>
        <w:spacing w:line="360" w:lineRule="auto"/>
        <w:rPr>
          <w:rFonts w:ascii="宋体" w:hAnsi="宋体"/>
          <w:b/>
          <w:bCs/>
          <w:sz w:val="60"/>
          <w:szCs w:val="60"/>
        </w:rPr>
      </w:pPr>
      <w:r>
        <w:rPr>
          <w:rFonts w:ascii="宋体" w:hAnsi="宋体"/>
          <w:b/>
          <w:bCs/>
          <w:sz w:val="60"/>
          <w:szCs w:val="60"/>
        </w:rPr>
      </w:r>
      <w:r/>
    </w:p>
    <w:p>
      <w:pPr>
        <w:pStyle w:val="1270"/>
        <w:ind w:left="2832" w:hanging="1900"/>
        <w:jc w:val="left"/>
        <w:spacing w:line="360" w:lineRule="auto"/>
        <w:tabs>
          <w:tab w:val="left" w:pos="5609" w:leader="none"/>
        </w:tabs>
        <w:rPr>
          <w:bCs/>
          <w:sz w:val="36"/>
          <w:szCs w:val="36"/>
        </w:rPr>
      </w:pPr>
      <w:r>
        <w:rPr>
          <w:bCs/>
          <w:sz w:val="36"/>
          <w:szCs w:val="36"/>
        </w:rPr>
      </w:r>
      <w:r/>
    </w:p>
    <w:p>
      <w:pPr>
        <w:pStyle w:val="1270"/>
        <w:ind w:left="2832" w:hanging="1900"/>
        <w:jc w:val="left"/>
        <w:spacing w:line="360" w:lineRule="auto"/>
        <w:tabs>
          <w:tab w:val="left" w:pos="5609" w:leader="none"/>
        </w:tabs>
        <w:rPr>
          <w:bCs/>
          <w:sz w:val="36"/>
          <w:szCs w:val="36"/>
        </w:rPr>
      </w:pPr>
      <w:r>
        <w:rPr>
          <w:bCs/>
          <w:sz w:val="36"/>
          <w:szCs w:val="36"/>
        </w:rPr>
      </w:r>
      <w:r/>
    </w:p>
    <w:p>
      <w:pPr>
        <w:pStyle w:val="1270"/>
        <w:ind w:left="2832" w:hanging="1900"/>
        <w:jc w:val="left"/>
        <w:spacing w:line="360" w:lineRule="auto"/>
        <w:tabs>
          <w:tab w:val="left" w:pos="5609" w:leader="none"/>
        </w:tabs>
        <w:rPr>
          <w:bCs/>
          <w:sz w:val="36"/>
          <w:szCs w:val="36"/>
        </w:rPr>
      </w:pPr>
      <w:r>
        <w:rPr>
          <w:bCs/>
          <w:sz w:val="36"/>
          <w:szCs w:val="36"/>
        </w:rPr>
      </w:r>
      <w:r/>
    </w:p>
    <w:p>
      <w:pPr>
        <w:pStyle w:val="1491"/>
        <w:tabs>
          <w:tab w:val="left" w:pos="567" w:leader="none"/>
        </w:tabs>
        <w:rPr>
          <w:bCs/>
          <w:sz w:val="36"/>
          <w:szCs w:val="36"/>
        </w:rPr>
      </w:pPr>
      <w:r>
        <w:rPr>
          <w:bCs/>
          <w:sz w:val="36"/>
          <w:szCs w:val="36"/>
        </w:rPr>
      </w:r>
      <w:r/>
    </w:p>
    <w:p>
      <w:pPr>
        <w:pStyle w:val="1270"/>
      </w:pPr>
      <w:r/>
      <w:r/>
    </w:p>
    <w:p>
      <w:pPr>
        <w:pStyle w:val="1270"/>
        <w:jc w:val="left"/>
        <w:spacing w:line="360" w:lineRule="auto"/>
        <w:tabs>
          <w:tab w:val="left" w:pos="5609" w:leader="none"/>
        </w:tabs>
        <w:rPr>
          <w:bCs/>
          <w:sz w:val="36"/>
          <w:szCs w:val="36"/>
        </w:rPr>
      </w:pPr>
      <w:r>
        <w:rPr>
          <w:bCs/>
          <w:sz w:val="36"/>
          <w:szCs w:val="36"/>
        </w:rPr>
      </w:r>
      <w:r/>
    </w:p>
    <w:p>
      <w:pPr>
        <w:pStyle w:val="1270"/>
        <w:ind w:left="2832" w:hanging="1900"/>
        <w:jc w:val="left"/>
        <w:spacing w:line="360" w:lineRule="auto"/>
        <w:tabs>
          <w:tab w:val="left" w:pos="5609" w:leader="none"/>
        </w:tabs>
        <w:rPr>
          <w:bCs/>
          <w:sz w:val="36"/>
          <w:szCs w:val="36"/>
        </w:rPr>
      </w:pPr>
      <w:r>
        <w:rPr>
          <w:bCs/>
          <w:sz w:val="36"/>
          <w:szCs w:val="36"/>
        </w:rPr>
      </w:r>
      <w:r/>
    </w:p>
    <w:p>
      <w:pPr>
        <w:pStyle w:val="1270"/>
        <w:ind w:firstLine="720"/>
        <w:jc w:val="left"/>
        <w:spacing w:line="360" w:lineRule="auto"/>
        <w:tabs>
          <w:tab w:val="left" w:pos="5609" w:leader="none"/>
        </w:tabs>
        <w:rPr>
          <w:rFonts w:hint="eastAsia" w:ascii="宋体" w:hAnsi="宋体" w:cs="宋体"/>
          <w:bCs/>
          <w:sz w:val="36"/>
          <w:szCs w:val="36"/>
        </w:rPr>
      </w:pPr>
      <w:r>
        <w:rPr>
          <w:bCs/>
          <w:sz w:val="36"/>
          <w:szCs w:val="36"/>
        </w:rPr>
        <w:t xml:space="preserve">项目名称：</w:t>
      </w:r>
      <w:r>
        <w:rPr>
          <w:rFonts w:hint="eastAsia"/>
          <w:bCs/>
          <w:sz w:val="36"/>
          <w:szCs w:val="36"/>
        </w:rPr>
        <w:t xml:space="preserve">溧阳市自动监测监控系统运行维护项目</w:t>
      </w:r>
      <w:r>
        <w:rPr>
          <w:rFonts w:hint="eastAsia" w:ascii="宋体" w:hAnsi="宋体" w:cs="宋体"/>
          <w:bCs/>
          <w:sz w:val="36"/>
          <w:szCs w:val="36"/>
        </w:rPr>
        <w:tab/>
      </w:r>
      <w:r>
        <w:rPr>
          <w:rFonts w:hint="eastAsia" w:ascii="宋体" w:hAnsi="宋体" w:cs="宋体"/>
          <w:bCs/>
          <w:sz w:val="36"/>
          <w:szCs w:val="36"/>
        </w:rPr>
      </w:r>
      <w:r/>
    </w:p>
    <w:p>
      <w:pPr>
        <w:pStyle w:val="1270"/>
        <w:ind w:firstLine="720"/>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项目编号/包号：龙城采竞磋【W43Y】-2026010501</w:t>
      </w:r>
      <w:r>
        <w:rPr>
          <w:rFonts w:hint="eastAsia" w:ascii="宋体" w:hAnsi="宋体" w:cs="宋体"/>
          <w:bCs/>
          <w:sz w:val="36"/>
          <w:szCs w:val="36"/>
        </w:rPr>
      </w:r>
      <w:r/>
    </w:p>
    <w:p>
      <w:pPr>
        <w:pStyle w:val="1270"/>
        <w:ind w:firstLine="720"/>
        <w:jc w:val="left"/>
        <w:spacing w:line="360" w:lineRule="auto"/>
        <w:tabs>
          <w:tab w:val="left" w:pos="3240" w:leader="none"/>
          <w:tab w:val="left" w:pos="3420" w:leader="none"/>
        </w:tabs>
        <w:rPr>
          <w:rFonts w:hint="eastAsia"/>
          <w:bCs/>
          <w:sz w:val="36"/>
          <w:szCs w:val="36"/>
        </w:rPr>
      </w:pPr>
      <w:r>
        <w:rPr>
          <w:bCs/>
          <w:sz w:val="36"/>
          <w:szCs w:val="36"/>
        </w:rPr>
        <w:t xml:space="preserve">采购人：</w:t>
      </w:r>
      <w:r>
        <w:rPr>
          <w:rFonts w:hint="eastAsia"/>
          <w:bCs/>
          <w:sz w:val="36"/>
          <w:szCs w:val="36"/>
        </w:rPr>
        <w:t xml:space="preserve">常州市生态环境监控中心溧阳分中心</w:t>
      </w:r>
      <w:r>
        <w:rPr>
          <w:rFonts w:hint="eastAsia"/>
          <w:bCs/>
          <w:sz w:val="36"/>
          <w:szCs w:val="36"/>
        </w:rPr>
      </w:r>
      <w:r/>
    </w:p>
    <w:p>
      <w:pPr>
        <w:pStyle w:val="1270"/>
        <w:ind w:firstLine="72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江苏龙城招投标有限公司</w:t>
      </w:r>
      <w:r>
        <w:rPr>
          <w:bCs/>
          <w:sz w:val="36"/>
          <w:szCs w:val="36"/>
        </w:rPr>
      </w:r>
      <w:r/>
    </w:p>
    <w:p>
      <w:pPr>
        <w:pStyle w:val="1270"/>
        <w:jc w:val="center"/>
        <w:rPr>
          <w:b/>
          <w:bCs/>
          <w:sz w:val="44"/>
        </w:rPr>
      </w:pPr>
      <w:r>
        <w:rPr>
          <w:b/>
          <w:bCs/>
          <w:sz w:val="44"/>
        </w:rPr>
      </w:r>
      <w:r/>
    </w:p>
    <w:p>
      <w:pPr>
        <w:pStyle w:val="1270"/>
        <w:jc w:val="center"/>
        <w:widowControl/>
        <w:rPr>
          <w:color w:val="000000"/>
          <w:sz w:val="24"/>
        </w:rPr>
      </w:pPr>
      <w:r>
        <w:rPr>
          <w:rFonts w:hint="eastAsia"/>
          <w:sz w:val="36"/>
          <w:szCs w:val="36"/>
        </w:rPr>
        <w:t xml:space="preserve">编制时间：二零二六年</w:t>
      </w:r>
      <w:r>
        <w:rPr>
          <w:rFonts w:hint="eastAsia"/>
          <w:sz w:val="36"/>
          <w:szCs w:val="36"/>
          <w:lang w:val="en-US" w:eastAsia="zh-CN"/>
        </w:rPr>
        <w:t xml:space="preserve">二</w:t>
      </w:r>
      <w:r>
        <w:rPr>
          <w:rFonts w:hint="eastAsia"/>
          <w:sz w:val="36"/>
          <w:szCs w:val="36"/>
        </w:rPr>
        <w:t xml:space="preserve">月</w:t>
      </w:r>
      <w:r>
        <w:rPr>
          <w:b/>
          <w:bCs/>
          <w:sz w:val="44"/>
        </w:rPr>
        <w:br w:type="page" w:clear="all"/>
      </w:r>
      <w:r>
        <w:rPr>
          <w:color w:val="000000"/>
          <w:sz w:val="24"/>
        </w:rPr>
      </w:r>
      <w:r/>
    </w:p>
    <w:p>
      <w:pPr>
        <w:pStyle w:val="1640"/>
        <w:spacing w:line="360" w:lineRule="auto"/>
        <w:rPr>
          <w:rFonts w:ascii="Times New Roman" w:hAnsi="Times New Roman" w:cs="Times New Roman"/>
        </w:rPr>
      </w:pPr>
      <w:r>
        <w:rPr>
          <w:rFonts w:ascii="Times New Roman" w:hAnsi="Times New Roman" w:cs="Times New Roman"/>
        </w:rPr>
      </w:r>
      <w:r/>
    </w:p>
    <w:p>
      <w:pPr>
        <w:pStyle w:val="1270"/>
        <w:jc w:val="center"/>
        <w:spacing w:line="360" w:lineRule="auto"/>
        <w:rPr>
          <w:b/>
          <w:sz w:val="36"/>
          <w:szCs w:val="36"/>
        </w:rPr>
        <w:outlineLvl w:val="0"/>
      </w:pPr>
      <w:r/>
      <w:bookmarkStart w:id="0" w:name="_Toc104818924"/>
      <w:r>
        <w:rPr>
          <w:rFonts w:hint="eastAsia"/>
          <w:b/>
          <w:sz w:val="36"/>
          <w:szCs w:val="36"/>
        </w:rPr>
        <w:t xml:space="preserve">目录</w:t>
      </w:r>
      <w:bookmarkEnd w:id="0"/>
      <w:r>
        <w:rPr>
          <w:b/>
          <w:sz w:val="36"/>
          <w:szCs w:val="36"/>
        </w:rPr>
      </w:r>
      <w:r/>
    </w:p>
    <w:p>
      <w:pPr>
        <w:pStyle w:val="1270"/>
      </w:pPr>
      <w:r/>
      <w:r/>
    </w:p>
    <w:p>
      <w:pPr>
        <w:pStyle w:val="1270"/>
      </w:pPr>
      <w:r/>
      <w:r/>
    </w:p>
    <w:p>
      <w:pPr>
        <w:pStyle w:val="1270"/>
      </w:pPr>
      <w:r/>
      <w:r/>
    </w:p>
    <w:p>
      <w:pPr>
        <w:pStyle w:val="1270"/>
      </w:pPr>
      <w:r/>
      <w:r/>
    </w:p>
    <w:p>
      <w:pPr>
        <w:pStyle w:val="1512"/>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512"/>
        <w:tabs>
          <w:tab w:val="left" w:pos="1050" w:leader="none"/>
          <w:tab w:val="right" w:pos="8937" w:leader="dot"/>
        </w:tabs>
        <w:rPr>
          <w:rFonts w:ascii="Calibri" w:hAnsi="Calibri"/>
          <w:b w:val="0"/>
          <w:sz w:val="28"/>
          <w:szCs w:val="28"/>
        </w:rPr>
      </w:pPr>
      <w:r>
        <w:rPr>
          <w:rStyle w:val="1536"/>
          <w:sz w:val="28"/>
          <w:szCs w:val="28"/>
        </w:rPr>
        <w:fldChar w:fldCharType="begin"/>
      </w:r>
      <w:r>
        <w:rPr>
          <w:rStyle w:val="1536"/>
          <w:sz w:val="28"/>
          <w:szCs w:val="28"/>
        </w:rPr>
        <w:instrText xml:space="preserve"> </w:instrText>
      </w:r>
      <w:r>
        <w:rPr>
          <w:sz w:val="28"/>
          <w:szCs w:val="28"/>
        </w:rPr>
        <w:instrText xml:space="preserve">HYPERLINK \l "_Toc104818925"</w:instrText>
      </w:r>
      <w:r>
        <w:rPr>
          <w:rStyle w:val="1536"/>
          <w:sz w:val="28"/>
          <w:szCs w:val="28"/>
        </w:rPr>
        <w:instrText xml:space="preserve"> </w:instrText>
      </w:r>
      <w:r>
        <w:rPr>
          <w:rStyle w:val="1536"/>
          <w:sz w:val="28"/>
          <w:szCs w:val="28"/>
        </w:rPr>
        <w:fldChar w:fldCharType="separate"/>
      </w:r>
      <w:r>
        <w:rPr>
          <w:rStyle w:val="1536"/>
          <w:rFonts w:hint="eastAsia"/>
          <w:sz w:val="28"/>
          <w:szCs w:val="28"/>
        </w:rPr>
        <w:t xml:space="preserve">第一章</w:t>
      </w:r>
      <w:r>
        <w:rPr>
          <w:rStyle w:val="1536"/>
          <w:sz w:val="28"/>
          <w:szCs w:val="28"/>
        </w:rPr>
        <w:t xml:space="preserve">   </w:t>
      </w:r>
      <w:r>
        <w:rPr>
          <w:rStyle w:val="1536"/>
          <w:rFonts w:hint="eastAsia"/>
          <w:sz w:val="28"/>
          <w:szCs w:val="28"/>
        </w:rPr>
        <w:t xml:space="preserve">采购邀请</w:t>
      </w:r>
      <w:r>
        <w:rPr>
          <w:sz w:val="28"/>
          <w:szCs w:val="28"/>
        </w:rPr>
        <w:tab/>
      </w:r>
      <w:r>
        <w:rPr>
          <w:sz w:val="28"/>
          <w:szCs w:val="28"/>
        </w:rPr>
        <w:fldChar w:fldCharType="begin"/>
      </w:r>
      <w:r>
        <w:rPr>
          <w:sz w:val="28"/>
          <w:szCs w:val="28"/>
        </w:rPr>
        <w:instrText xml:space="preserve"> PAGEREF _Toc104818925 \h </w:instrText>
      </w:r>
      <w:r>
        <w:rPr>
          <w:sz w:val="28"/>
          <w:szCs w:val="28"/>
        </w:rPr>
        <w:fldChar w:fldCharType="separate"/>
      </w:r>
      <w:r>
        <w:rPr>
          <w:sz w:val="28"/>
          <w:szCs w:val="28"/>
        </w:rPr>
        <w:t xml:space="preserve">3</w:t>
      </w:r>
      <w:r>
        <w:rPr>
          <w:sz w:val="28"/>
          <w:szCs w:val="28"/>
        </w:rPr>
        <w:fldChar w:fldCharType="end"/>
      </w:r>
      <w:r>
        <w:rPr>
          <w:rStyle w:val="1536"/>
          <w:sz w:val="28"/>
          <w:szCs w:val="28"/>
        </w:rPr>
        <w:fldChar w:fldCharType="end"/>
      </w:r>
      <w:r>
        <w:rPr>
          <w:rFonts w:ascii="Calibri" w:hAnsi="Calibri"/>
          <w:b w:val="0"/>
          <w:sz w:val="28"/>
          <w:szCs w:val="28"/>
        </w:rPr>
      </w:r>
      <w:r/>
    </w:p>
    <w:p>
      <w:pPr>
        <w:pStyle w:val="1512"/>
        <w:tabs>
          <w:tab w:val="left" w:pos="1050" w:leader="none"/>
          <w:tab w:val="right" w:pos="8937" w:leader="dot"/>
        </w:tabs>
        <w:rPr>
          <w:rFonts w:ascii="Calibri" w:hAnsi="Calibri"/>
          <w:b w:val="0"/>
          <w:sz w:val="28"/>
          <w:szCs w:val="28"/>
        </w:rPr>
      </w:pPr>
      <w:r>
        <w:rPr>
          <w:rStyle w:val="1536"/>
          <w:sz w:val="28"/>
          <w:szCs w:val="28"/>
        </w:rPr>
        <w:fldChar w:fldCharType="begin"/>
      </w:r>
      <w:r>
        <w:rPr>
          <w:rStyle w:val="1536"/>
          <w:sz w:val="28"/>
          <w:szCs w:val="28"/>
        </w:rPr>
        <w:instrText xml:space="preserve"> </w:instrText>
      </w:r>
      <w:r>
        <w:rPr>
          <w:sz w:val="28"/>
          <w:szCs w:val="28"/>
        </w:rPr>
        <w:instrText xml:space="preserve">HYPERLINK \l "_Toc104818926"</w:instrText>
      </w:r>
      <w:r>
        <w:rPr>
          <w:rStyle w:val="1536"/>
          <w:sz w:val="28"/>
          <w:szCs w:val="28"/>
        </w:rPr>
        <w:instrText xml:space="preserve"> </w:instrText>
      </w:r>
      <w:r>
        <w:rPr>
          <w:rStyle w:val="1536"/>
          <w:sz w:val="28"/>
          <w:szCs w:val="28"/>
        </w:rPr>
        <w:fldChar w:fldCharType="separate"/>
      </w:r>
      <w:r>
        <w:rPr>
          <w:rStyle w:val="1536"/>
          <w:rFonts w:hint="eastAsia"/>
          <w:sz w:val="28"/>
          <w:szCs w:val="28"/>
        </w:rPr>
        <w:t xml:space="preserve">第二章</w:t>
      </w:r>
      <w:r>
        <w:rPr>
          <w:rStyle w:val="1536"/>
          <w:sz w:val="28"/>
          <w:szCs w:val="28"/>
        </w:rPr>
        <w:t xml:space="preserve">   </w:t>
      </w:r>
      <w:r>
        <w:rPr>
          <w:rStyle w:val="1536"/>
          <w:rFonts w:hint="eastAsia"/>
          <w:sz w:val="28"/>
          <w:szCs w:val="28"/>
        </w:rPr>
        <w:t xml:space="preserve">供应商须知</w:t>
      </w:r>
      <w:r>
        <w:rPr>
          <w:sz w:val="28"/>
          <w:szCs w:val="28"/>
        </w:rPr>
        <w:tab/>
      </w:r>
      <w:r>
        <w:rPr>
          <w:sz w:val="28"/>
          <w:szCs w:val="28"/>
        </w:rPr>
        <w:fldChar w:fldCharType="begin"/>
      </w:r>
      <w:r>
        <w:rPr>
          <w:sz w:val="28"/>
          <w:szCs w:val="28"/>
        </w:rPr>
        <w:instrText xml:space="preserve"> PAGEREF _Toc104818926 \h </w:instrText>
      </w:r>
      <w:r>
        <w:rPr>
          <w:sz w:val="28"/>
          <w:szCs w:val="28"/>
        </w:rPr>
        <w:fldChar w:fldCharType="separate"/>
      </w:r>
      <w:r>
        <w:rPr>
          <w:sz w:val="28"/>
          <w:szCs w:val="28"/>
        </w:rPr>
        <w:t xml:space="preserve">8</w:t>
      </w:r>
      <w:r>
        <w:rPr>
          <w:sz w:val="28"/>
          <w:szCs w:val="28"/>
        </w:rPr>
        <w:fldChar w:fldCharType="end"/>
      </w:r>
      <w:r>
        <w:rPr>
          <w:rStyle w:val="1536"/>
          <w:sz w:val="28"/>
          <w:szCs w:val="28"/>
        </w:rPr>
        <w:fldChar w:fldCharType="end"/>
      </w:r>
      <w:r>
        <w:rPr>
          <w:rFonts w:ascii="Calibri" w:hAnsi="Calibri"/>
          <w:b w:val="0"/>
          <w:sz w:val="28"/>
          <w:szCs w:val="28"/>
        </w:rPr>
      </w:r>
      <w:r/>
    </w:p>
    <w:p>
      <w:pPr>
        <w:pStyle w:val="1512"/>
        <w:tabs>
          <w:tab w:val="left" w:pos="1050" w:leader="none"/>
          <w:tab w:val="right" w:pos="8937" w:leader="dot"/>
        </w:tabs>
        <w:rPr>
          <w:rFonts w:ascii="Calibri" w:hAnsi="Calibri"/>
          <w:b w:val="0"/>
          <w:sz w:val="28"/>
          <w:szCs w:val="28"/>
        </w:rPr>
      </w:pPr>
      <w:r>
        <w:rPr>
          <w:rStyle w:val="1536"/>
          <w:sz w:val="28"/>
          <w:szCs w:val="28"/>
        </w:rPr>
        <w:fldChar w:fldCharType="begin"/>
      </w:r>
      <w:r>
        <w:rPr>
          <w:rStyle w:val="1536"/>
          <w:sz w:val="28"/>
          <w:szCs w:val="28"/>
        </w:rPr>
        <w:instrText xml:space="preserve"> </w:instrText>
      </w:r>
      <w:r>
        <w:rPr>
          <w:sz w:val="28"/>
          <w:szCs w:val="28"/>
        </w:rPr>
        <w:instrText xml:space="preserve">HYPERLINK \l "_Toc104818927"</w:instrText>
      </w:r>
      <w:r>
        <w:rPr>
          <w:rStyle w:val="1536"/>
          <w:sz w:val="28"/>
          <w:szCs w:val="28"/>
        </w:rPr>
        <w:instrText xml:space="preserve"> </w:instrText>
      </w:r>
      <w:r>
        <w:rPr>
          <w:rStyle w:val="1536"/>
          <w:sz w:val="28"/>
          <w:szCs w:val="28"/>
        </w:rPr>
        <w:fldChar w:fldCharType="separate"/>
      </w:r>
      <w:r>
        <w:rPr>
          <w:rStyle w:val="1536"/>
          <w:rFonts w:hint="eastAsia"/>
          <w:sz w:val="28"/>
          <w:szCs w:val="28"/>
        </w:rPr>
        <w:t xml:space="preserve">第三章</w:t>
      </w:r>
      <w:r>
        <w:rPr>
          <w:rStyle w:val="1536"/>
          <w:sz w:val="28"/>
          <w:szCs w:val="28"/>
        </w:rPr>
        <w:t xml:space="preserve">   </w:t>
      </w:r>
      <w:r>
        <w:rPr>
          <w:rStyle w:val="1536"/>
          <w:rFonts w:hint="eastAsia"/>
          <w:sz w:val="28"/>
          <w:szCs w:val="28"/>
        </w:rPr>
        <w:t xml:space="preserve">评审程序、评审方法和评审标准</w:t>
      </w:r>
      <w:r>
        <w:rPr>
          <w:sz w:val="28"/>
          <w:szCs w:val="28"/>
        </w:rPr>
        <w:tab/>
      </w:r>
      <w:r>
        <w:rPr>
          <w:sz w:val="28"/>
          <w:szCs w:val="28"/>
        </w:rPr>
        <w:fldChar w:fldCharType="begin"/>
      </w:r>
      <w:r>
        <w:rPr>
          <w:sz w:val="28"/>
          <w:szCs w:val="28"/>
        </w:rPr>
        <w:instrText xml:space="preserve"> PAGEREF _Toc104818927 \h </w:instrText>
      </w:r>
      <w:r>
        <w:rPr>
          <w:sz w:val="28"/>
          <w:szCs w:val="28"/>
        </w:rPr>
        <w:fldChar w:fldCharType="separate"/>
      </w:r>
      <w:r>
        <w:rPr>
          <w:sz w:val="28"/>
          <w:szCs w:val="28"/>
        </w:rPr>
        <w:t xml:space="preserve">21</w:t>
      </w:r>
      <w:r>
        <w:rPr>
          <w:sz w:val="28"/>
          <w:szCs w:val="28"/>
        </w:rPr>
        <w:fldChar w:fldCharType="end"/>
      </w:r>
      <w:r>
        <w:rPr>
          <w:rStyle w:val="1536"/>
          <w:sz w:val="28"/>
          <w:szCs w:val="28"/>
        </w:rPr>
        <w:fldChar w:fldCharType="end"/>
      </w:r>
      <w:r>
        <w:rPr>
          <w:rFonts w:ascii="Calibri" w:hAnsi="Calibri"/>
          <w:b w:val="0"/>
          <w:sz w:val="28"/>
          <w:szCs w:val="28"/>
        </w:rPr>
      </w:r>
      <w:r/>
    </w:p>
    <w:p>
      <w:pPr>
        <w:pStyle w:val="1512"/>
        <w:tabs>
          <w:tab w:val="left" w:pos="1050" w:leader="none"/>
          <w:tab w:val="right" w:pos="8937" w:leader="dot"/>
        </w:tabs>
        <w:rPr>
          <w:rFonts w:ascii="Calibri" w:hAnsi="Calibri"/>
          <w:b w:val="0"/>
          <w:sz w:val="28"/>
          <w:szCs w:val="28"/>
        </w:rPr>
      </w:pPr>
      <w:r>
        <w:rPr>
          <w:rStyle w:val="1536"/>
          <w:sz w:val="28"/>
          <w:szCs w:val="28"/>
        </w:rPr>
        <w:fldChar w:fldCharType="begin"/>
      </w:r>
      <w:r>
        <w:rPr>
          <w:rStyle w:val="1536"/>
          <w:sz w:val="28"/>
          <w:szCs w:val="28"/>
        </w:rPr>
        <w:instrText xml:space="preserve"> </w:instrText>
      </w:r>
      <w:r>
        <w:rPr>
          <w:sz w:val="28"/>
          <w:szCs w:val="28"/>
        </w:rPr>
        <w:instrText xml:space="preserve">HYPERLINK \l "_Toc104818928"</w:instrText>
      </w:r>
      <w:r>
        <w:rPr>
          <w:rStyle w:val="1536"/>
          <w:sz w:val="28"/>
          <w:szCs w:val="28"/>
        </w:rPr>
        <w:instrText xml:space="preserve"> </w:instrText>
      </w:r>
      <w:r>
        <w:rPr>
          <w:rStyle w:val="1536"/>
          <w:sz w:val="28"/>
          <w:szCs w:val="28"/>
        </w:rPr>
        <w:fldChar w:fldCharType="separate"/>
      </w:r>
      <w:r>
        <w:rPr>
          <w:rStyle w:val="1536"/>
          <w:rFonts w:hint="eastAsia"/>
          <w:sz w:val="28"/>
          <w:szCs w:val="28"/>
        </w:rPr>
        <w:t xml:space="preserve">第四章</w:t>
      </w:r>
      <w:r>
        <w:rPr>
          <w:rStyle w:val="1536"/>
          <w:sz w:val="28"/>
          <w:szCs w:val="28"/>
        </w:rPr>
        <w:t xml:space="preserve">   </w:t>
      </w:r>
      <w:r>
        <w:rPr>
          <w:rStyle w:val="1536"/>
          <w:rFonts w:hint="eastAsia"/>
          <w:sz w:val="28"/>
          <w:szCs w:val="28"/>
        </w:rPr>
        <w:t xml:space="preserve">采购需求</w:t>
      </w:r>
      <w:r>
        <w:rPr>
          <w:sz w:val="28"/>
          <w:szCs w:val="28"/>
        </w:rPr>
        <w:tab/>
      </w:r>
      <w:r>
        <w:rPr>
          <w:sz w:val="28"/>
          <w:szCs w:val="28"/>
        </w:rPr>
        <w:fldChar w:fldCharType="begin"/>
      </w:r>
      <w:r>
        <w:rPr>
          <w:sz w:val="28"/>
          <w:szCs w:val="28"/>
        </w:rPr>
        <w:instrText xml:space="preserve"> PAGEREF _Toc104818928 \h </w:instrText>
      </w:r>
      <w:r>
        <w:rPr>
          <w:sz w:val="28"/>
          <w:szCs w:val="28"/>
        </w:rPr>
        <w:fldChar w:fldCharType="separate"/>
      </w:r>
      <w:r>
        <w:rPr>
          <w:sz w:val="28"/>
          <w:szCs w:val="28"/>
        </w:rPr>
        <w:t xml:space="preserve">40</w:t>
      </w:r>
      <w:r>
        <w:rPr>
          <w:sz w:val="28"/>
          <w:szCs w:val="28"/>
        </w:rPr>
        <w:fldChar w:fldCharType="end"/>
      </w:r>
      <w:r>
        <w:rPr>
          <w:rStyle w:val="1536"/>
          <w:sz w:val="28"/>
          <w:szCs w:val="28"/>
        </w:rPr>
        <w:fldChar w:fldCharType="end"/>
      </w:r>
      <w:r>
        <w:rPr>
          <w:rFonts w:ascii="Calibri" w:hAnsi="Calibri"/>
          <w:b w:val="0"/>
          <w:sz w:val="28"/>
          <w:szCs w:val="28"/>
        </w:rPr>
      </w:r>
      <w:r/>
    </w:p>
    <w:p>
      <w:pPr>
        <w:pStyle w:val="1512"/>
        <w:tabs>
          <w:tab w:val="left" w:pos="1050" w:leader="none"/>
          <w:tab w:val="right" w:pos="8937" w:leader="dot"/>
        </w:tabs>
        <w:rPr>
          <w:rFonts w:hint="eastAsia" w:ascii="Calibri" w:hAnsi="Calibri"/>
          <w:b w:val="0"/>
          <w:sz w:val="28"/>
          <w:szCs w:val="28"/>
        </w:rPr>
      </w:pPr>
      <w:r>
        <w:rPr>
          <w:rStyle w:val="1536"/>
          <w:sz w:val="28"/>
          <w:szCs w:val="28"/>
        </w:rPr>
        <w:fldChar w:fldCharType="begin"/>
      </w:r>
      <w:r>
        <w:rPr>
          <w:rStyle w:val="1536"/>
          <w:sz w:val="28"/>
          <w:szCs w:val="28"/>
        </w:rPr>
        <w:instrText xml:space="preserve"> </w:instrText>
      </w:r>
      <w:r>
        <w:rPr>
          <w:sz w:val="28"/>
          <w:szCs w:val="28"/>
        </w:rPr>
        <w:instrText xml:space="preserve">HYPERLINK \l "_Toc104818929"</w:instrText>
      </w:r>
      <w:r>
        <w:rPr>
          <w:rStyle w:val="1536"/>
          <w:sz w:val="28"/>
          <w:szCs w:val="28"/>
        </w:rPr>
        <w:instrText xml:space="preserve"> </w:instrText>
      </w:r>
      <w:r>
        <w:rPr>
          <w:rStyle w:val="1536"/>
          <w:sz w:val="28"/>
          <w:szCs w:val="28"/>
        </w:rPr>
        <w:fldChar w:fldCharType="separate"/>
      </w:r>
      <w:r>
        <w:rPr>
          <w:rStyle w:val="1536"/>
          <w:rFonts w:hint="eastAsia"/>
          <w:sz w:val="28"/>
          <w:szCs w:val="28"/>
        </w:rPr>
        <w:t xml:space="preserve">第五章</w:t>
      </w:r>
      <w:r>
        <w:rPr>
          <w:rStyle w:val="1536"/>
          <w:sz w:val="28"/>
          <w:szCs w:val="28"/>
        </w:rPr>
        <w:t xml:space="preserve">   </w:t>
      </w:r>
      <w:r>
        <w:rPr>
          <w:rStyle w:val="1536"/>
          <w:rFonts w:hint="eastAsia"/>
          <w:sz w:val="28"/>
          <w:szCs w:val="28"/>
        </w:rPr>
        <w:t xml:space="preserve">合同草案条款</w:t>
      </w:r>
      <w:r>
        <w:rPr>
          <w:sz w:val="28"/>
          <w:szCs w:val="28"/>
        </w:rPr>
        <w:tab/>
      </w:r>
      <w:r>
        <w:rPr>
          <w:rFonts w:hint="eastAsia"/>
          <w:sz w:val="28"/>
          <w:szCs w:val="28"/>
        </w:rPr>
        <w:t xml:space="preserve">6</w:t>
      </w:r>
      <w:r>
        <w:rPr>
          <w:rStyle w:val="1536"/>
          <w:sz w:val="28"/>
          <w:szCs w:val="28"/>
        </w:rPr>
        <w:fldChar w:fldCharType="end"/>
      </w:r>
      <w:r>
        <w:rPr>
          <w:rStyle w:val="1536"/>
          <w:rFonts w:hint="eastAsia"/>
          <w:sz w:val="28"/>
          <w:szCs w:val="28"/>
        </w:rPr>
        <w:t xml:space="preserve">0</w:t>
      </w:r>
      <w:r>
        <w:rPr>
          <w:rFonts w:hint="eastAsia" w:ascii="Calibri" w:hAnsi="Calibri"/>
          <w:b w:val="0"/>
          <w:sz w:val="28"/>
          <w:szCs w:val="28"/>
        </w:rPr>
      </w:r>
      <w:r/>
    </w:p>
    <w:p>
      <w:pPr>
        <w:pStyle w:val="1512"/>
        <w:tabs>
          <w:tab w:val="left" w:pos="1050" w:leader="none"/>
          <w:tab w:val="right" w:pos="8937" w:leader="dot"/>
        </w:tabs>
        <w:rPr>
          <w:rFonts w:ascii="Calibri" w:hAnsi="Calibri"/>
          <w:b w:val="0"/>
          <w:sz w:val="21"/>
          <w:szCs w:val="22"/>
        </w:rPr>
      </w:pPr>
      <w:r>
        <w:rPr>
          <w:rStyle w:val="1536"/>
          <w:sz w:val="28"/>
          <w:szCs w:val="28"/>
        </w:rPr>
        <w:fldChar w:fldCharType="begin"/>
      </w:r>
      <w:r>
        <w:rPr>
          <w:rStyle w:val="1536"/>
          <w:sz w:val="28"/>
          <w:szCs w:val="28"/>
        </w:rPr>
        <w:instrText xml:space="preserve"> </w:instrText>
      </w:r>
      <w:r>
        <w:rPr>
          <w:sz w:val="28"/>
          <w:szCs w:val="28"/>
        </w:rPr>
        <w:instrText xml:space="preserve">HYPERLINK \l "_Toc104818930"</w:instrText>
      </w:r>
      <w:r>
        <w:rPr>
          <w:rStyle w:val="1536"/>
          <w:sz w:val="28"/>
          <w:szCs w:val="28"/>
        </w:rPr>
        <w:instrText xml:space="preserve"> </w:instrText>
      </w:r>
      <w:r>
        <w:rPr>
          <w:rStyle w:val="1536"/>
          <w:sz w:val="28"/>
          <w:szCs w:val="28"/>
        </w:rPr>
        <w:fldChar w:fldCharType="separate"/>
      </w:r>
      <w:r>
        <w:rPr>
          <w:rStyle w:val="1536"/>
          <w:rFonts w:hint="eastAsia"/>
          <w:sz w:val="28"/>
          <w:szCs w:val="28"/>
        </w:rPr>
        <w:t xml:space="preserve">第六章</w:t>
      </w:r>
      <w:r>
        <w:rPr>
          <w:rStyle w:val="1536"/>
          <w:sz w:val="28"/>
          <w:szCs w:val="28"/>
        </w:rPr>
        <w:t xml:space="preserve">   </w:t>
      </w:r>
      <w:r>
        <w:rPr>
          <w:rStyle w:val="1536"/>
          <w:rFonts w:hint="eastAsia"/>
          <w:sz w:val="28"/>
          <w:szCs w:val="28"/>
        </w:rPr>
        <w:t xml:space="preserve">响应文件格式</w:t>
      </w:r>
      <w:r>
        <w:rPr>
          <w:sz w:val="28"/>
          <w:szCs w:val="28"/>
        </w:rPr>
        <w:tab/>
      </w:r>
      <w:r>
        <w:rPr>
          <w:rStyle w:val="1536"/>
          <w:sz w:val="28"/>
          <w:szCs w:val="28"/>
        </w:rPr>
        <w:fldChar w:fldCharType="end"/>
      </w:r>
      <w:r>
        <w:rPr>
          <w:rStyle w:val="1536"/>
          <w:rFonts w:hint="eastAsia"/>
          <w:sz w:val="28"/>
          <w:szCs w:val="28"/>
        </w:rPr>
        <w:t xml:space="preserve">69</w:t>
      </w:r>
      <w:r>
        <w:rPr>
          <w:rFonts w:ascii="Calibri" w:hAnsi="Calibri"/>
          <w:b w:val="0"/>
          <w:sz w:val="21"/>
          <w:szCs w:val="22"/>
        </w:rPr>
      </w:r>
      <w:r/>
    </w:p>
    <w:p>
      <w:pPr>
        <w:pStyle w:val="1512"/>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512"/>
        <w:spacing w:line="360" w:lineRule="auto"/>
        <w:tabs>
          <w:tab w:val="left" w:pos="1050" w:leader="none"/>
          <w:tab w:val="right" w:pos="8937" w:leader="dot"/>
        </w:tabs>
        <w:rPr>
          <w:b w:val="0"/>
          <w:sz w:val="36"/>
          <w:szCs w:val="36"/>
        </w:rPr>
      </w:pPr>
      <w:r>
        <w:rPr>
          <w:b w:val="0"/>
          <w:sz w:val="36"/>
          <w:szCs w:val="36"/>
        </w:rPr>
      </w:r>
      <w:r/>
    </w:p>
    <w:p>
      <w:pPr>
        <w:pStyle w:val="1270"/>
        <w:jc w:val="center"/>
        <w:spacing w:line="360" w:lineRule="auto"/>
        <w:rPr>
          <w:b/>
          <w:sz w:val="36"/>
          <w:szCs w:val="36"/>
        </w:rPr>
        <w:sectPr>
          <w:headerReference w:type="default" r:id="rId9"/>
          <w:headerReference w:type="first" r:id="rId10"/>
          <w:footerReference w:type="default" r:id="rId16"/>
          <w:footerReference w:type="even" r:id="rId17"/>
          <w:footerReference w:type="first" r:id="rId18"/>
          <w:footnotePr/>
          <w:endnotePr/>
          <w:type w:val="nextColumn"/>
          <w:pgSz w:w="11905" w:h="16838" w:orient="portrait"/>
          <w:pgMar w:top="1803" w:right="1236" w:bottom="1803" w:left="1236" w:header="1020" w:footer="1020" w:gutter="0"/>
          <w:pgNumType w:start="1"/>
          <w:cols w:num="1" w:sep="0" w:space="1701" w:equalWidth="1"/>
          <w:docGrid w:linePitch="360"/>
        </w:sectPr>
        <w:outlineLvl w:val="0"/>
      </w:pPr>
      <w:r>
        <w:rPr>
          <w:b/>
          <w:sz w:val="36"/>
          <w:szCs w:val="36"/>
        </w:rPr>
        <w:br w:type="page" w:clear="all"/>
      </w:r>
      <w:r/>
    </w:p>
    <w:p>
      <w:pPr>
        <w:pStyle w:val="1270"/>
        <w:jc w:val="center"/>
        <w:spacing w:line="360" w:lineRule="auto"/>
        <w:rPr>
          <w:color w:val="000000"/>
          <w:sz w:val="24"/>
        </w:rPr>
        <w:outlineLvl w:val="0"/>
      </w:pPr>
      <w:r/>
      <w:bookmarkStart w:id="1" w:name="_Toc104818925"/>
      <w:r>
        <w:rPr>
          <w:b/>
          <w:color w:val="000000"/>
          <w:sz w:val="36"/>
          <w:szCs w:val="36"/>
        </w:rPr>
        <w:t xml:space="preserve">第一章</w:t>
      </w:r>
      <w:r>
        <w:rPr>
          <w:rFonts w:hint="eastAsia"/>
          <w:b/>
          <w:color w:val="000000"/>
          <w:sz w:val="36"/>
          <w:szCs w:val="36"/>
        </w:rPr>
        <w:t xml:space="preserve">  </w:t>
      </w:r>
      <w:r>
        <w:rPr>
          <w:b/>
          <w:color w:val="000000"/>
          <w:sz w:val="36"/>
          <w:szCs w:val="36"/>
        </w:rPr>
        <w:t xml:space="preserve">采购邀请</w:t>
      </w:r>
      <w:bookmarkEnd w:id="1"/>
      <w:r/>
      <w:bookmarkStart w:id="2" w:name="_Toc35393621"/>
      <w:r/>
      <w:bookmarkStart w:id="3" w:name="_Toc35393790"/>
      <w:r/>
      <w:bookmarkStart w:id="4" w:name="_Toc28359002"/>
      <w:r/>
      <w:bookmarkStart w:id="5" w:name="_Toc28359079"/>
      <w:r/>
      <w:bookmarkStart w:id="6" w:name="_Hlk24379207"/>
      <w:r>
        <w:rPr>
          <w:color w:val="000000"/>
          <w:sz w:val="24"/>
        </w:rPr>
      </w:r>
      <w:r/>
    </w:p>
    <w:p>
      <w:pPr>
        <w:pStyle w:val="1469"/>
        <w:jc w:val="left"/>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一、项目基本情况</w:t>
      </w:r>
      <w:bookmarkEnd w:id="2"/>
      <w:r/>
      <w:bookmarkEnd w:id="3"/>
      <w:r/>
      <w:bookmarkEnd w:id="4"/>
      <w:r/>
      <w:bookmarkEnd w:id="5"/>
      <w:r>
        <w:rPr>
          <w:rFonts w:hint="eastAsia" w:ascii="宋体" w:hAnsi="宋体" w:eastAsia="宋体" w:cs="宋体"/>
          <w:color w:val="000000"/>
          <w:sz w:val="24"/>
          <w:szCs w:val="24"/>
        </w:rPr>
      </w:r>
      <w:r/>
    </w:p>
    <w:p>
      <w:pPr>
        <w:pStyle w:val="1270"/>
        <w:ind w:firstLine="480"/>
        <w:spacing w:line="440" w:lineRule="exact"/>
        <w:rPr>
          <w:rFonts w:hint="eastAsia" w:ascii="宋体" w:hAnsi="宋体" w:cs="宋体"/>
          <w:color w:val="000000"/>
          <w:sz w:val="24"/>
        </w:rPr>
      </w:pPr>
      <w:r>
        <w:rPr>
          <w:rFonts w:hint="eastAsia" w:ascii="宋体" w:hAnsi="宋体" w:cs="宋体"/>
          <w:color w:val="000000"/>
          <w:sz w:val="24"/>
        </w:rPr>
        <w:t xml:space="preserve">1、项目编号/包号：龙城采竞磋【W43Y】-2026010501</w:t>
      </w:r>
      <w:r>
        <w:rPr>
          <w:rFonts w:hint="eastAsia" w:ascii="宋体" w:hAnsi="宋体" w:cs="宋体"/>
          <w:color w:val="000000"/>
          <w:sz w:val="24"/>
        </w:rPr>
      </w:r>
      <w:r/>
    </w:p>
    <w:p>
      <w:pPr>
        <w:pStyle w:val="1270"/>
        <w:ind w:firstLine="480"/>
        <w:spacing w:line="440" w:lineRule="exact"/>
        <w:rPr>
          <w:rFonts w:hint="eastAsia" w:ascii="宋体" w:hAnsi="宋体" w:cs="宋体"/>
          <w:color w:val="000000"/>
          <w:sz w:val="24"/>
        </w:rPr>
      </w:pPr>
      <w:r>
        <w:rPr>
          <w:rFonts w:hint="eastAsia" w:ascii="宋体" w:hAnsi="宋体" w:cs="宋体"/>
          <w:color w:val="000000"/>
          <w:sz w:val="24"/>
        </w:rPr>
        <w:t xml:space="preserve">2、项目名称：溧阳市自动监测监控系统运行维护项目</w:t>
      </w:r>
      <w:r>
        <w:rPr>
          <w:rFonts w:hint="eastAsia" w:ascii="宋体" w:hAnsi="宋体" w:cs="宋体"/>
          <w:color w:val="000000"/>
          <w:sz w:val="24"/>
        </w:rPr>
      </w:r>
      <w:r/>
    </w:p>
    <w:p>
      <w:pPr>
        <w:pStyle w:val="127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3、采购方式：竞争性磋商</w:t>
      </w:r>
      <w:r>
        <w:rPr>
          <w:rFonts w:hint="eastAsia" w:ascii="宋体" w:hAnsi="宋体" w:cs="宋体"/>
          <w:color w:val="000000"/>
          <w:sz w:val="24"/>
          <w:highlight w:val="none"/>
        </w:rPr>
      </w:r>
      <w:r/>
    </w:p>
    <w:p>
      <w:pPr>
        <w:pStyle w:val="1270"/>
        <w:ind w:firstLine="480"/>
        <w:spacing w:line="440" w:lineRule="exact"/>
        <w:rPr>
          <w:rFonts w:ascii="宋体" w:hAnsi="宋体" w:cs="宋体"/>
          <w:color w:val="000000"/>
          <w:sz w:val="24"/>
          <w:highlight w:val="none"/>
        </w:rPr>
      </w:pPr>
      <w:r/>
      <w:bookmarkEnd w:id="6"/>
      <w:r>
        <w:rPr>
          <w:rFonts w:hint="eastAsia" w:ascii="宋体" w:hAnsi="宋体" w:cs="宋体"/>
          <w:color w:val="000000"/>
          <w:sz w:val="24"/>
          <w:highlight w:val="none"/>
        </w:rPr>
        <w:t xml:space="preserve">4、项目预算金额：</w:t>
      </w:r>
      <w:r>
        <w:rPr>
          <w:rFonts w:hint="eastAsia" w:ascii="宋体" w:hAnsi="宋体" w:cs="宋体"/>
          <w:sz w:val="24"/>
          <w:highlight w:val="none"/>
        </w:rPr>
        <w:t xml:space="preserve">人民币360万元（采购包1：全市10个水质自动监测站运维服务，人民币146万元；采购包2：全市12个空气质量自动监测站运维服务，人民币139万元；采购包3：18个水站运维质控检查</w:t>
      </w:r>
      <w:r>
        <w:rPr>
          <w:rFonts w:hint="eastAsia" w:ascii="宋体" w:hAnsi="宋体" w:cs="宋体"/>
          <w:sz w:val="24"/>
          <w:highlight w:val="none"/>
          <w:lang w:val="en-US" w:eastAsia="zh-CN"/>
        </w:rPr>
        <w:t xml:space="preserve">服务</w:t>
      </w:r>
      <w:r>
        <w:rPr>
          <w:rFonts w:hint="eastAsia" w:ascii="宋体" w:hAnsi="宋体" w:cs="宋体"/>
          <w:sz w:val="24"/>
          <w:highlight w:val="none"/>
        </w:rPr>
        <w:t xml:space="preserve">，人民币60万元；采购包4：自动监测数据监控平台运行维护</w:t>
      </w:r>
      <w:r>
        <w:rPr>
          <w:rFonts w:hint="eastAsia" w:ascii="宋体" w:hAnsi="宋体" w:cs="宋体"/>
          <w:sz w:val="24"/>
          <w:highlight w:val="none"/>
          <w:lang w:val="en-US" w:eastAsia="zh-CN"/>
        </w:rPr>
        <w:t xml:space="preserve">服务</w:t>
      </w:r>
      <w:r>
        <w:rPr>
          <w:rFonts w:hint="eastAsia" w:ascii="宋体" w:hAnsi="宋体" w:cs="宋体"/>
          <w:sz w:val="24"/>
          <w:highlight w:val="none"/>
        </w:rPr>
        <w:t xml:space="preserve">，人民币15万元。）</w:t>
      </w:r>
      <w:r>
        <w:rPr>
          <w:rFonts w:ascii="宋体" w:hAnsi="宋体" w:cs="宋体"/>
          <w:color w:val="000000"/>
          <w:sz w:val="24"/>
          <w:highlight w:val="none"/>
        </w:rPr>
      </w:r>
      <w:r/>
    </w:p>
    <w:p>
      <w:pPr>
        <w:pStyle w:val="1270"/>
        <w:ind w:firstLine="480"/>
        <w:spacing w:line="440" w:lineRule="exact"/>
        <w:rPr>
          <w:rFonts w:hint="eastAsia" w:ascii="宋体" w:hAnsi="宋体" w:cs="宋体"/>
          <w:color w:val="000000"/>
          <w:sz w:val="24"/>
          <w:highlight w:val="yellow"/>
        </w:rPr>
      </w:pPr>
      <w:r>
        <w:rPr>
          <w:rFonts w:hint="eastAsia" w:ascii="宋体" w:hAnsi="宋体" w:cs="宋体"/>
          <w:color w:val="000000"/>
          <w:sz w:val="24"/>
          <w:highlight w:val="none"/>
        </w:rPr>
        <w:t xml:space="preserve">5、项目最高限价：</w:t>
      </w:r>
      <w:r>
        <w:rPr>
          <w:rFonts w:hint="eastAsia" w:ascii="宋体" w:hAnsi="宋体" w:cs="宋体"/>
          <w:sz w:val="24"/>
          <w:highlight w:val="none"/>
        </w:rPr>
        <w:t xml:space="preserve">人民币230万元（采购包1：全市10个水质自动监测站运维服务，人民币80万元；采购包2：全市12个空气质量自动监测站运维服务，人民币91万元；采购包3：18个水站运维质控检查</w:t>
      </w:r>
      <w:r>
        <w:rPr>
          <w:rFonts w:hint="eastAsia" w:ascii="宋体" w:hAnsi="宋体" w:cs="宋体"/>
          <w:sz w:val="24"/>
          <w:highlight w:val="none"/>
          <w:lang w:val="en-US" w:eastAsia="zh-CN"/>
        </w:rPr>
        <w:t xml:space="preserve">服务</w:t>
      </w:r>
      <w:r>
        <w:rPr>
          <w:rFonts w:hint="eastAsia" w:ascii="宋体" w:hAnsi="宋体" w:cs="宋体"/>
          <w:sz w:val="24"/>
        </w:rPr>
        <w:t xml:space="preserve">，人民币51万元；采购包4：自动监测数据监控平台运行维护</w:t>
      </w:r>
      <w:r>
        <w:rPr>
          <w:rFonts w:hint="eastAsia" w:ascii="宋体" w:hAnsi="宋体" w:cs="宋体"/>
          <w:sz w:val="24"/>
          <w:lang w:val="en-US" w:eastAsia="zh-CN"/>
        </w:rPr>
        <w:t xml:space="preserve">服务</w:t>
      </w:r>
      <w:r>
        <w:rPr>
          <w:rFonts w:hint="eastAsia" w:ascii="宋体" w:hAnsi="宋体" w:cs="宋体"/>
          <w:sz w:val="24"/>
        </w:rPr>
        <w:t xml:space="preserve">，人民币8万元</w:t>
      </w:r>
      <w:r>
        <w:rPr>
          <w:rFonts w:hint="eastAsia" w:ascii="宋体" w:hAnsi="宋体" w:cs="宋体"/>
          <w:sz w:val="24"/>
          <w:lang w:eastAsia="zh-CN"/>
        </w:rPr>
        <w:t xml:space="preserve">。</w:t>
      </w:r>
      <w:r>
        <w:rPr>
          <w:rFonts w:hint="eastAsia" w:ascii="宋体" w:hAnsi="宋体" w:cs="宋体"/>
          <w:sz w:val="24"/>
        </w:rPr>
        <w:t xml:space="preserve">）</w:t>
      </w:r>
      <w:r>
        <w:rPr>
          <w:rFonts w:hint="eastAsia" w:ascii="宋体" w:hAnsi="宋体" w:cs="宋体"/>
          <w:color w:val="000000"/>
          <w:sz w:val="24"/>
          <w:highlight w:val="yellow"/>
        </w:rPr>
      </w:r>
      <w:r/>
    </w:p>
    <w:p>
      <w:pPr>
        <w:pStyle w:val="1270"/>
        <w:ind w:firstLine="480"/>
        <w:spacing w:line="440" w:lineRule="exact"/>
        <w:rPr>
          <w:rFonts w:hint="eastAsia" w:ascii="宋体" w:hAnsi="宋体" w:cs="宋体"/>
          <w:sz w:val="24"/>
        </w:rPr>
      </w:pPr>
      <w:r>
        <w:rPr>
          <w:rFonts w:hint="eastAsia" w:ascii="宋体" w:hAnsi="宋体" w:cs="宋体"/>
          <w:sz w:val="24"/>
        </w:rPr>
        <w:t xml:space="preserve">6、采购需求：</w:t>
      </w:r>
      <w:r>
        <w:rPr>
          <w:rFonts w:hint="eastAsia" w:ascii="宋体" w:hAnsi="宋体" w:cs="宋体"/>
          <w:sz w:val="24"/>
        </w:rPr>
      </w:r>
      <w:r/>
    </w:p>
    <w:tbl>
      <w:tblPr>
        <w:tblW w:w="4992"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7"/>
        <w:gridCol w:w="2430"/>
        <w:gridCol w:w="1935"/>
        <w:gridCol w:w="750"/>
        <w:gridCol w:w="3992"/>
      </w:tblGrid>
      <w:tr>
        <w:trPr>
          <w:trHeight w:val="454"/>
        </w:trPr>
        <w:tc>
          <w:tcPr>
            <w:tcW w:w="527" w:type="dxa"/>
            <w:vAlign w:val="center"/>
            <w:textDirection w:val="lrTb"/>
            <w:noWrap w:val="false"/>
          </w:tcPr>
          <w:p>
            <w:pPr>
              <w:pStyle w:val="1270"/>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包号</w:t>
            </w:r>
            <w:r>
              <w:rPr>
                <w:rFonts w:hint="eastAsia" w:ascii="宋体" w:hAnsi="宋体" w:cs="宋体"/>
                <w:bCs/>
                <w:color w:val="000000"/>
                <w:sz w:val="24"/>
                <w:highlight w:val="none"/>
              </w:rPr>
            </w:r>
            <w:r/>
          </w:p>
        </w:tc>
        <w:tc>
          <w:tcPr>
            <w:tcW w:w="2430" w:type="dxa"/>
            <w:vAlign w:val="center"/>
            <w:textDirection w:val="lrTb"/>
            <w:noWrap w:val="false"/>
          </w:tcPr>
          <w:p>
            <w:pPr>
              <w:pStyle w:val="1270"/>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1935" w:type="dxa"/>
            <w:vAlign w:val="center"/>
            <w:textDirection w:val="lrTb"/>
            <w:noWrap w:val="false"/>
          </w:tcPr>
          <w:p>
            <w:pPr>
              <w:pStyle w:val="1270"/>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采购包预算金额</w:t>
            </w:r>
            <w:r>
              <w:rPr>
                <w:rFonts w:hint="eastAsia" w:ascii="宋体" w:hAnsi="宋体" w:cs="宋体"/>
                <w:bCs/>
                <w:color w:val="000000"/>
                <w:sz w:val="24"/>
                <w:highlight w:val="none"/>
              </w:rPr>
            </w:r>
            <w:r/>
          </w:p>
          <w:p>
            <w:pPr>
              <w:pStyle w:val="1270"/>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（万元）</w:t>
            </w:r>
            <w:r>
              <w:rPr>
                <w:rFonts w:hint="eastAsia" w:ascii="宋体" w:hAnsi="宋体" w:cs="宋体"/>
                <w:bCs/>
                <w:color w:val="000000"/>
                <w:sz w:val="24"/>
                <w:highlight w:val="none"/>
              </w:rPr>
            </w:r>
            <w:r/>
          </w:p>
        </w:tc>
        <w:tc>
          <w:tcPr>
            <w:tcW w:w="750" w:type="dxa"/>
            <w:vAlign w:val="center"/>
            <w:textDirection w:val="lrTb"/>
            <w:noWrap w:val="false"/>
          </w:tcPr>
          <w:p>
            <w:pPr>
              <w:pStyle w:val="1270"/>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3992" w:type="dxa"/>
            <w:vAlign w:val="center"/>
            <w:textDirection w:val="lrTb"/>
            <w:noWrap w:val="false"/>
          </w:tcPr>
          <w:p>
            <w:pPr>
              <w:pStyle w:val="1270"/>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简要技术需求或服务要求</w:t>
            </w:r>
            <w:r>
              <w:rPr>
                <w:rFonts w:hint="eastAsia" w:ascii="宋体" w:hAnsi="宋体" w:cs="宋体"/>
                <w:color w:val="000000"/>
                <w:sz w:val="24"/>
                <w:highlight w:val="none"/>
              </w:rPr>
            </w:r>
            <w:r/>
          </w:p>
        </w:tc>
      </w:tr>
      <w:tr>
        <w:trPr>
          <w:trHeight w:val="454"/>
        </w:trPr>
        <w:tc>
          <w:tcPr>
            <w:tcW w:w="527" w:type="dxa"/>
            <w:vAlign w:val="center"/>
            <w:textDirection w:val="lrTb"/>
            <w:noWrap w:val="false"/>
          </w:tcPr>
          <w:p>
            <w:pPr>
              <w:pStyle w:val="1270"/>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01</w:t>
            </w:r>
            <w:r>
              <w:rPr>
                <w:rFonts w:hint="eastAsia" w:ascii="宋体" w:hAnsi="宋体" w:cs="宋体"/>
                <w:bCs/>
                <w:color w:val="000000"/>
                <w:sz w:val="24"/>
                <w:highlight w:val="none"/>
              </w:rPr>
            </w:r>
            <w:r/>
          </w:p>
        </w:tc>
        <w:tc>
          <w:tcPr>
            <w:tcW w:w="2430" w:type="dxa"/>
            <w:vAlign w:val="center"/>
            <w:textDirection w:val="lrTb"/>
            <w:noWrap w:val="false"/>
          </w:tcPr>
          <w:p>
            <w:pPr>
              <w:pStyle w:val="1270"/>
              <w:jc w:val="center"/>
              <w:spacing w:line="44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全市10个水质自动监测站运维服务</w:t>
            </w:r>
            <w:r>
              <w:rPr>
                <w:rFonts w:hint="eastAsia" w:ascii="宋体" w:hAnsi="宋体" w:cs="宋体"/>
                <w:bCs/>
                <w:color w:val="000000"/>
                <w:sz w:val="24"/>
                <w:highlight w:val="none"/>
              </w:rPr>
            </w:r>
            <w:r/>
          </w:p>
        </w:tc>
        <w:tc>
          <w:tcPr>
            <w:tcW w:w="1935" w:type="dxa"/>
            <w:vAlign w:val="center"/>
            <w:textDirection w:val="lrTb"/>
            <w:noWrap w:val="false"/>
          </w:tcPr>
          <w:p>
            <w:pPr>
              <w:pStyle w:val="1270"/>
              <w:jc w:val="center"/>
              <w:spacing w:line="44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146</w:t>
            </w:r>
            <w:r>
              <w:rPr>
                <w:rFonts w:ascii="宋体" w:hAnsi="宋体" w:eastAsia="宋体" w:cs="宋体"/>
                <w:bCs/>
                <w:color w:val="000000"/>
                <w:sz w:val="24"/>
                <w:highlight w:val="none"/>
                <w:lang w:val="en-US" w:eastAsia="zh-CN"/>
              </w:rPr>
            </w:r>
            <w:r/>
          </w:p>
        </w:tc>
        <w:tc>
          <w:tcPr>
            <w:tcW w:w="750" w:type="dxa"/>
            <w:vAlign w:val="center"/>
            <w:textDirection w:val="lrTb"/>
            <w:noWrap w:val="false"/>
          </w:tcPr>
          <w:p>
            <w:pPr>
              <w:pStyle w:val="1270"/>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1项</w:t>
            </w:r>
            <w:r>
              <w:rPr>
                <w:rFonts w:hint="eastAsia" w:ascii="宋体" w:hAnsi="宋体" w:cs="宋体"/>
                <w:bCs/>
                <w:color w:val="000000"/>
                <w:sz w:val="24"/>
                <w:highlight w:val="none"/>
              </w:rPr>
            </w:r>
            <w:r/>
          </w:p>
        </w:tc>
        <w:tc>
          <w:tcPr>
            <w:tcW w:w="3992" w:type="dxa"/>
            <w:vAlign w:val="center"/>
            <w:textDirection w:val="lrTb"/>
            <w:noWrap w:val="false"/>
          </w:tcPr>
          <w:p>
            <w:pPr>
              <w:pStyle w:val="127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对溧阳市10个水质自动监测站运行维护，以保障自动站的正常运行。</w:t>
            </w:r>
            <w:r>
              <w:rPr>
                <w:rFonts w:hint="eastAsia" w:ascii="宋体" w:hAnsi="宋体" w:cs="宋体"/>
                <w:color w:val="000000"/>
                <w:sz w:val="24"/>
                <w:highlight w:val="none"/>
              </w:rPr>
            </w:r>
            <w:r/>
          </w:p>
        </w:tc>
      </w:tr>
      <w:tr>
        <w:trPr>
          <w:trHeight w:val="454"/>
        </w:trPr>
        <w:tc>
          <w:tcPr>
            <w:tcW w:w="527" w:type="dxa"/>
            <w:vAlign w:val="center"/>
            <w:textDirection w:val="lrTb"/>
            <w:noWrap w:val="false"/>
          </w:tcPr>
          <w:p>
            <w:pPr>
              <w:pStyle w:val="1270"/>
              <w:jc w:val="center"/>
              <w:spacing w:line="44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02</w:t>
            </w:r>
            <w:r>
              <w:rPr>
                <w:rFonts w:ascii="宋体" w:hAnsi="宋体" w:eastAsia="宋体" w:cs="宋体"/>
                <w:bCs/>
                <w:color w:val="000000"/>
                <w:sz w:val="24"/>
                <w:highlight w:val="none"/>
                <w:lang w:val="en-US" w:eastAsia="zh-CN"/>
              </w:rPr>
            </w:r>
            <w:r/>
          </w:p>
        </w:tc>
        <w:tc>
          <w:tcPr>
            <w:tcW w:w="2430" w:type="dxa"/>
            <w:vAlign w:val="center"/>
            <w:textDirection w:val="lrTb"/>
            <w:noWrap w:val="false"/>
          </w:tcPr>
          <w:p>
            <w:pPr>
              <w:pStyle w:val="1270"/>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全市12个空气质量自动监测站运维服务</w:t>
            </w:r>
            <w:r>
              <w:rPr>
                <w:rFonts w:hint="eastAsia" w:ascii="宋体" w:hAnsi="宋体" w:cs="宋体"/>
                <w:color w:val="000000"/>
                <w:sz w:val="24"/>
                <w:highlight w:val="none"/>
              </w:rPr>
            </w:r>
            <w:r/>
          </w:p>
        </w:tc>
        <w:tc>
          <w:tcPr>
            <w:tcW w:w="1935" w:type="dxa"/>
            <w:vAlign w:val="center"/>
            <w:textDirection w:val="lrTb"/>
            <w:noWrap w:val="false"/>
          </w:tcPr>
          <w:p>
            <w:pPr>
              <w:pStyle w:val="1270"/>
              <w:jc w:val="center"/>
              <w:spacing w:line="44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139</w:t>
            </w:r>
            <w:r>
              <w:rPr>
                <w:rFonts w:ascii="宋体" w:hAnsi="宋体" w:eastAsia="宋体" w:cs="宋体"/>
                <w:bCs/>
                <w:color w:val="000000"/>
                <w:sz w:val="24"/>
                <w:highlight w:val="none"/>
                <w:lang w:val="en-US" w:eastAsia="zh-CN"/>
              </w:rPr>
            </w:r>
            <w:r/>
          </w:p>
        </w:tc>
        <w:tc>
          <w:tcPr>
            <w:tcW w:w="750" w:type="dxa"/>
            <w:vAlign w:val="center"/>
            <w:textDirection w:val="lrTb"/>
            <w:noWrap w:val="false"/>
          </w:tcPr>
          <w:p>
            <w:pPr>
              <w:pStyle w:val="1270"/>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1项</w:t>
            </w:r>
            <w:r>
              <w:rPr>
                <w:rFonts w:hint="eastAsia" w:ascii="宋体" w:hAnsi="宋体" w:cs="宋体"/>
                <w:bCs/>
                <w:color w:val="000000"/>
                <w:sz w:val="24"/>
                <w:highlight w:val="none"/>
              </w:rPr>
            </w:r>
            <w:r/>
          </w:p>
        </w:tc>
        <w:tc>
          <w:tcPr>
            <w:tcW w:w="3992" w:type="dxa"/>
            <w:vAlign w:val="center"/>
            <w:textDirection w:val="lrTb"/>
            <w:noWrap w:val="false"/>
          </w:tcPr>
          <w:p>
            <w:pPr>
              <w:pStyle w:val="127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对12个空气质量自动监测站运行维护，以保障自动站的正常运行。</w:t>
            </w:r>
            <w:r>
              <w:rPr>
                <w:rFonts w:hint="eastAsia" w:ascii="宋体" w:hAnsi="宋体" w:cs="宋体"/>
                <w:color w:val="000000"/>
                <w:sz w:val="24"/>
                <w:highlight w:val="none"/>
              </w:rPr>
            </w:r>
            <w:r/>
          </w:p>
        </w:tc>
      </w:tr>
      <w:tr>
        <w:trPr>
          <w:trHeight w:val="454"/>
        </w:trPr>
        <w:tc>
          <w:tcPr>
            <w:tcW w:w="527" w:type="dxa"/>
            <w:vAlign w:val="center"/>
            <w:textDirection w:val="lrTb"/>
            <w:noWrap w:val="false"/>
          </w:tcPr>
          <w:p>
            <w:pPr>
              <w:pStyle w:val="1270"/>
              <w:jc w:val="center"/>
              <w:spacing w:line="44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03</w:t>
            </w:r>
            <w:r>
              <w:rPr>
                <w:rFonts w:ascii="宋体" w:hAnsi="宋体" w:eastAsia="宋体" w:cs="宋体"/>
                <w:bCs/>
                <w:color w:val="000000"/>
                <w:sz w:val="24"/>
                <w:highlight w:val="none"/>
                <w:lang w:val="en-US" w:eastAsia="zh-CN"/>
              </w:rPr>
            </w:r>
            <w:r/>
          </w:p>
        </w:tc>
        <w:tc>
          <w:tcPr>
            <w:tcW w:w="2430" w:type="dxa"/>
            <w:vAlign w:val="center"/>
            <w:textDirection w:val="lrTb"/>
            <w:noWrap w:val="false"/>
          </w:tcPr>
          <w:p>
            <w:pPr>
              <w:pStyle w:val="1270"/>
              <w:jc w:val="center"/>
              <w:spacing w:line="44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18个水站运维质控检查</w:t>
            </w:r>
            <w:r>
              <w:rPr>
                <w:rFonts w:hint="eastAsia" w:ascii="宋体" w:hAnsi="宋体" w:cs="宋体"/>
                <w:color w:val="000000"/>
                <w:sz w:val="24"/>
                <w:highlight w:val="none"/>
                <w:lang w:val="en-US" w:eastAsia="zh-CN"/>
              </w:rPr>
              <w:t xml:space="preserve">服务</w:t>
            </w:r>
            <w:r>
              <w:rPr>
                <w:rFonts w:hint="eastAsia" w:ascii="宋体" w:hAnsi="宋体" w:eastAsia="宋体" w:cs="宋体"/>
                <w:color w:val="000000"/>
                <w:sz w:val="24"/>
                <w:highlight w:val="none"/>
                <w:lang w:val="en-US" w:eastAsia="zh-CN"/>
              </w:rPr>
            </w:r>
            <w:r/>
          </w:p>
        </w:tc>
        <w:tc>
          <w:tcPr>
            <w:tcW w:w="1935" w:type="dxa"/>
            <w:vAlign w:val="center"/>
            <w:textDirection w:val="lrTb"/>
            <w:noWrap w:val="false"/>
          </w:tcPr>
          <w:p>
            <w:pPr>
              <w:pStyle w:val="1270"/>
              <w:jc w:val="center"/>
              <w:spacing w:line="44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60</w:t>
            </w:r>
            <w:r>
              <w:rPr>
                <w:rFonts w:ascii="宋体" w:hAnsi="宋体" w:eastAsia="宋体" w:cs="宋体"/>
                <w:bCs/>
                <w:color w:val="000000"/>
                <w:sz w:val="24"/>
                <w:highlight w:val="none"/>
                <w:lang w:val="en-US" w:eastAsia="zh-CN"/>
              </w:rPr>
            </w:r>
            <w:r/>
          </w:p>
        </w:tc>
        <w:tc>
          <w:tcPr>
            <w:tcW w:w="750" w:type="dxa"/>
            <w:vAlign w:val="center"/>
            <w:textDirection w:val="lrTb"/>
            <w:noWrap w:val="false"/>
          </w:tcPr>
          <w:p>
            <w:pPr>
              <w:pStyle w:val="1270"/>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1项</w:t>
            </w:r>
            <w:r>
              <w:rPr>
                <w:rFonts w:hint="eastAsia" w:ascii="宋体" w:hAnsi="宋体" w:cs="宋体"/>
                <w:bCs/>
                <w:color w:val="000000"/>
                <w:sz w:val="24"/>
                <w:highlight w:val="none"/>
              </w:rPr>
            </w:r>
            <w:r/>
          </w:p>
        </w:tc>
        <w:tc>
          <w:tcPr>
            <w:tcW w:w="3992" w:type="dxa"/>
            <w:vAlign w:val="center"/>
            <w:textDirection w:val="lrTb"/>
            <w:noWrap w:val="false"/>
          </w:tcPr>
          <w:p>
            <w:pPr>
              <w:pStyle w:val="127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对18个水站运维质控检查，以保障自动站的正常运行。</w:t>
            </w:r>
            <w:r>
              <w:rPr>
                <w:rFonts w:hint="eastAsia" w:ascii="宋体" w:hAnsi="宋体" w:cs="宋体"/>
                <w:color w:val="000000"/>
                <w:sz w:val="24"/>
                <w:highlight w:val="none"/>
              </w:rPr>
            </w:r>
            <w:r/>
          </w:p>
        </w:tc>
      </w:tr>
      <w:tr>
        <w:trPr>
          <w:trHeight w:val="454"/>
        </w:trPr>
        <w:tc>
          <w:tcPr>
            <w:tcW w:w="527" w:type="dxa"/>
            <w:vAlign w:val="center"/>
            <w:textDirection w:val="lrTb"/>
            <w:noWrap w:val="false"/>
          </w:tcPr>
          <w:p>
            <w:pPr>
              <w:pStyle w:val="1270"/>
              <w:jc w:val="center"/>
              <w:spacing w:line="44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04</w:t>
            </w:r>
            <w:r>
              <w:rPr>
                <w:rFonts w:ascii="宋体" w:hAnsi="宋体" w:eastAsia="宋体" w:cs="宋体"/>
                <w:bCs/>
                <w:color w:val="000000"/>
                <w:sz w:val="24"/>
                <w:highlight w:val="none"/>
                <w:lang w:val="en-US" w:eastAsia="zh-CN"/>
              </w:rPr>
            </w:r>
            <w:r/>
          </w:p>
        </w:tc>
        <w:tc>
          <w:tcPr>
            <w:tcW w:w="2430" w:type="dxa"/>
            <w:vAlign w:val="center"/>
            <w:textDirection w:val="lrTb"/>
            <w:noWrap w:val="false"/>
          </w:tcPr>
          <w:p>
            <w:pPr>
              <w:pStyle w:val="1270"/>
              <w:jc w:val="center"/>
              <w:spacing w:line="44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自动监测数据监控平台运行维护</w:t>
            </w:r>
            <w:r>
              <w:rPr>
                <w:rFonts w:hint="eastAsia" w:ascii="宋体" w:hAnsi="宋体" w:cs="宋体"/>
                <w:color w:val="000000"/>
                <w:sz w:val="24"/>
                <w:highlight w:val="none"/>
                <w:lang w:val="en-US" w:eastAsia="zh-CN"/>
              </w:rPr>
              <w:t xml:space="preserve">服务</w:t>
            </w:r>
            <w:r>
              <w:rPr>
                <w:rFonts w:hint="eastAsia" w:ascii="宋体" w:hAnsi="宋体" w:eastAsia="宋体" w:cs="宋体"/>
                <w:color w:val="000000"/>
                <w:sz w:val="24"/>
                <w:highlight w:val="none"/>
                <w:lang w:val="en-US" w:eastAsia="zh-CN"/>
              </w:rPr>
            </w:r>
            <w:r/>
          </w:p>
        </w:tc>
        <w:tc>
          <w:tcPr>
            <w:tcW w:w="1935" w:type="dxa"/>
            <w:vAlign w:val="center"/>
            <w:textDirection w:val="lrTb"/>
            <w:noWrap w:val="false"/>
          </w:tcPr>
          <w:p>
            <w:pPr>
              <w:pStyle w:val="1270"/>
              <w:jc w:val="center"/>
              <w:spacing w:line="44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15</w:t>
            </w:r>
            <w:r>
              <w:rPr>
                <w:rFonts w:ascii="宋体" w:hAnsi="宋体" w:eastAsia="宋体" w:cs="宋体"/>
                <w:bCs/>
                <w:color w:val="000000"/>
                <w:sz w:val="24"/>
                <w:highlight w:val="none"/>
                <w:lang w:val="en-US" w:eastAsia="zh-CN"/>
              </w:rPr>
            </w:r>
            <w:r/>
          </w:p>
        </w:tc>
        <w:tc>
          <w:tcPr>
            <w:tcW w:w="750" w:type="dxa"/>
            <w:vAlign w:val="center"/>
            <w:textDirection w:val="lrTb"/>
            <w:noWrap w:val="false"/>
          </w:tcPr>
          <w:p>
            <w:pPr>
              <w:pStyle w:val="1270"/>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1项</w:t>
            </w:r>
            <w:r>
              <w:rPr>
                <w:rFonts w:hint="eastAsia" w:ascii="宋体" w:hAnsi="宋体" w:cs="宋体"/>
                <w:bCs/>
                <w:color w:val="000000"/>
                <w:sz w:val="24"/>
                <w:highlight w:val="none"/>
              </w:rPr>
            </w:r>
            <w:r/>
          </w:p>
        </w:tc>
        <w:tc>
          <w:tcPr>
            <w:tcW w:w="3992" w:type="dxa"/>
            <w:vAlign w:val="center"/>
            <w:textDirection w:val="lrTb"/>
            <w:noWrap w:val="false"/>
          </w:tcPr>
          <w:p>
            <w:pPr>
              <w:pStyle w:val="127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对自动监测数据监控平台运行维护，以保障自动站的正常运行。</w:t>
            </w:r>
            <w:r>
              <w:rPr>
                <w:rFonts w:hint="eastAsia" w:ascii="宋体" w:hAnsi="宋体" w:cs="宋体"/>
                <w:color w:val="000000"/>
                <w:sz w:val="24"/>
                <w:highlight w:val="none"/>
              </w:rPr>
            </w:r>
            <w:r/>
          </w:p>
        </w:tc>
      </w:tr>
    </w:tbl>
    <w:p>
      <w:pPr>
        <w:pStyle w:val="1270"/>
        <w:ind w:firstLine="480"/>
        <w:spacing w:line="440" w:lineRule="exact"/>
        <w:rPr>
          <w:rFonts w:hint="eastAsia" w:ascii="宋体" w:hAnsi="宋体" w:cs="宋体"/>
          <w:sz w:val="24"/>
          <w:highlight w:val="none"/>
        </w:rPr>
      </w:pPr>
      <w:r>
        <w:rPr>
          <w:rFonts w:hint="eastAsia" w:ascii="宋体" w:hAnsi="宋体" w:cs="宋体"/>
          <w:sz w:val="24"/>
        </w:rPr>
        <w:t xml:space="preserve">本项目共分</w:t>
      </w:r>
      <w:r>
        <w:rPr>
          <w:rFonts w:hint="eastAsia" w:ascii="宋体" w:hAnsi="宋体" w:cs="宋体"/>
          <w:sz w:val="24"/>
          <w:highlight w:val="none"/>
        </w:rPr>
        <w:t xml:space="preserve">为</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个</w:t>
      </w:r>
      <w:r>
        <w:rPr>
          <w:rFonts w:hint="eastAsia" w:ascii="宋体" w:hAnsi="宋体" w:cs="宋体"/>
          <w:sz w:val="24"/>
        </w:rPr>
        <w:t xml:space="preserve">采购包，</w:t>
      </w:r>
      <w:r>
        <w:rPr>
          <w:rFonts w:hint="eastAsia" w:ascii="宋体" w:hAnsi="宋体" w:cs="宋体"/>
          <w:sz w:val="24"/>
          <w:lang w:val="en-US" w:eastAsia="zh-CN"/>
        </w:rPr>
        <w:t xml:space="preserve">供应商</w:t>
      </w:r>
      <w:r>
        <w:rPr>
          <w:rFonts w:hint="eastAsia" w:ascii="宋体" w:hAnsi="宋体" w:cs="宋体"/>
          <w:sz w:val="24"/>
        </w:rPr>
        <w:t xml:space="preserve">可对本次招标项目中的1个采购包或全部采购包进行投标，每个</w:t>
      </w:r>
      <w:r>
        <w:rPr>
          <w:rFonts w:hint="eastAsia" w:ascii="宋体" w:hAnsi="宋体" w:cs="宋体"/>
          <w:sz w:val="24"/>
          <w:lang w:val="en-US" w:eastAsia="zh-CN"/>
        </w:rPr>
        <w:t xml:space="preserve">供应商可</w:t>
      </w:r>
      <w:r>
        <w:rPr>
          <w:rFonts w:hint="eastAsia" w:ascii="宋体" w:hAnsi="宋体" w:cs="宋体"/>
          <w:sz w:val="24"/>
        </w:rPr>
        <w:t xml:space="preserve">中</w:t>
      </w:r>
      <w:r>
        <w:rPr>
          <w:rFonts w:hint="eastAsia" w:ascii="宋体" w:hAnsi="宋体" w:cs="宋体"/>
          <w:sz w:val="24"/>
          <w:lang w:val="en-US" w:eastAsia="zh-CN"/>
        </w:rPr>
        <w:t xml:space="preserve">多</w:t>
      </w:r>
      <w:r>
        <w:rPr>
          <w:rFonts w:hint="eastAsia" w:ascii="宋体" w:hAnsi="宋体" w:cs="宋体"/>
          <w:sz w:val="24"/>
        </w:rPr>
        <w:t xml:space="preserve">个采购包。</w:t>
      </w:r>
      <w:r>
        <w:rPr>
          <w:rFonts w:hint="eastAsia" w:ascii="宋体" w:hAnsi="宋体" w:cs="宋体"/>
          <w:sz w:val="24"/>
          <w:highlight w:val="none"/>
        </w:rPr>
      </w:r>
      <w:r/>
    </w:p>
    <w:p>
      <w:pPr>
        <w:pStyle w:val="1270"/>
        <w:ind w:firstLine="480"/>
        <w:spacing w:line="440" w:lineRule="exact"/>
        <w:rPr>
          <w:rFonts w:hint="eastAsia" w:ascii="宋体" w:hAnsi="宋体" w:cs="宋体"/>
          <w:sz w:val="24"/>
          <w:u w:val="single"/>
        </w:rPr>
      </w:pPr>
      <w:r>
        <w:rPr>
          <w:rFonts w:hint="eastAsia" w:ascii="宋体" w:hAnsi="宋体" w:cs="宋体"/>
          <w:sz w:val="24"/>
          <w:highlight w:val="none"/>
        </w:rPr>
        <w:t xml:space="preserve">7、合同履行期限：自合同签订之日至2026年12月31日。</w:t>
      </w:r>
      <w:r>
        <w:rPr>
          <w:rFonts w:hint="eastAsia" w:ascii="宋体" w:hAnsi="宋体" w:cs="宋体"/>
          <w:sz w:val="24"/>
        </w:rPr>
        <w:t xml:space="preserve">  </w:t>
      </w:r>
      <w:r>
        <w:rPr>
          <w:rFonts w:hint="eastAsia" w:ascii="宋体" w:hAnsi="宋体" w:cs="宋体"/>
          <w:sz w:val="24"/>
          <w:u w:val="single"/>
        </w:rPr>
      </w:r>
      <w:r/>
    </w:p>
    <w:p>
      <w:pPr>
        <w:pStyle w:val="1270"/>
        <w:ind w:firstLine="480"/>
        <w:spacing w:line="440" w:lineRule="exact"/>
        <w:rPr>
          <w:rFonts w:hint="eastAsia" w:ascii="宋体" w:hAnsi="宋体" w:cs="宋体"/>
          <w:sz w:val="24"/>
        </w:rPr>
      </w:pPr>
      <w:r>
        <w:rPr>
          <w:rFonts w:hint="eastAsia" w:ascii="宋体" w:hAnsi="宋体" w:cs="宋体"/>
          <w:sz w:val="24"/>
        </w:rPr>
        <w:t xml:space="preserve">8、本项目是否接受联合体：□是  ☑否。</w:t>
      </w:r>
      <w:r>
        <w:rPr>
          <w:rFonts w:hint="eastAsia" w:ascii="宋体" w:hAnsi="宋体" w:cs="宋体"/>
          <w:sz w:val="24"/>
        </w:rPr>
      </w:r>
      <w:r/>
    </w:p>
    <w:p>
      <w:pPr>
        <w:pStyle w:val="1270"/>
        <w:ind w:firstLine="480"/>
        <w:spacing w:line="440" w:lineRule="exact"/>
        <w:rPr>
          <w:rFonts w:hint="eastAsia" w:ascii="宋体" w:hAnsi="宋体" w:cs="宋体"/>
          <w:sz w:val="24"/>
        </w:rPr>
      </w:pPr>
      <w:r/>
      <w:bookmarkStart w:id="7" w:name="_Toc35393622"/>
      <w:r/>
      <w:bookmarkStart w:id="8" w:name="_Toc28359003"/>
      <w:r/>
      <w:bookmarkStart w:id="9" w:name="_Toc35393791"/>
      <w:r/>
      <w:bookmarkStart w:id="10" w:name="_Toc28359080"/>
      <w:r>
        <w:rPr>
          <w:rFonts w:hint="eastAsia" w:ascii="宋体" w:hAnsi="宋体" w:cs="宋体"/>
          <w:sz w:val="24"/>
        </w:rPr>
        <w:t xml:space="preserve">9、本项目是否接受进口产品响应：□是  ☑否。</w:t>
      </w:r>
      <w:r>
        <w:rPr>
          <w:rFonts w:hint="eastAsia" w:ascii="宋体" w:hAnsi="宋体" w:cs="宋体"/>
          <w:sz w:val="24"/>
        </w:rPr>
      </w:r>
      <w:r/>
    </w:p>
    <w:p>
      <w:pPr>
        <w:pStyle w:val="1469"/>
        <w:jc w:val="left"/>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二、申请人的资格要求（须同时满足）</w:t>
      </w:r>
      <w:bookmarkEnd w:id="7"/>
      <w:r/>
      <w:bookmarkEnd w:id="8"/>
      <w:r/>
      <w:bookmarkEnd w:id="9"/>
      <w:r/>
      <w:bookmarkEnd w:id="10"/>
      <w:r>
        <w:rPr>
          <w:rFonts w:hint="eastAsia" w:ascii="宋体" w:hAnsi="宋体" w:eastAsia="宋体" w:cs="宋体"/>
          <w:sz w:val="24"/>
          <w:szCs w:val="24"/>
        </w:rPr>
      </w:r>
      <w:r/>
    </w:p>
    <w:p>
      <w:pPr>
        <w:pStyle w:val="1270"/>
        <w:ind w:firstLine="480"/>
        <w:spacing w:line="440" w:lineRule="exact"/>
        <w:rPr>
          <w:rFonts w:hint="eastAsia" w:ascii="宋体" w:hAnsi="宋体" w:cs="宋体"/>
          <w:sz w:val="24"/>
        </w:rPr>
      </w:pPr>
      <w:r/>
      <w:bookmarkStart w:id="11" w:name="_Toc28359081"/>
      <w:r/>
      <w:bookmarkStart w:id="12" w:name="_Toc28359004"/>
      <w:r>
        <w:rPr>
          <w:rFonts w:hint="eastAsia" w:ascii="宋体" w:hAnsi="宋体" w:cs="宋体"/>
          <w:sz w:val="24"/>
        </w:rPr>
        <w:t xml:space="preserve">1、满足《中华人民共和国政府采购法》第二十二条规定以及下列情形：</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1.1.具有独立承担民事责任的能力；[提供营业执照副本或事业单位法人证书或民办非企业单位登记证书或社会团体法人登记证书或基金会法人登记证书等证明文件]</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1.2.具有良好的商业信誉和健全的财务会计制度；[提供近三个月中任意一个月份(不含投标当月)的财务状况报告（资产负债表和利润表）或由会计师事务所出具的2023年度或2024年度的财务审计报告原件扫描件并签章]</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1.3.具有依法缴纳税收和社会保障资金的良好记录；[提供近三个月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1.4.参加政府采购活动前三年内，在经营活动中没有重大违法记录；[提供参加本次政府采购活动前3年内在经营活动中没有重大违法记录的书面声明]</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1.5.未被“信用中国”网站（www.creditchina.gov.cn）或“中国政府采购网”网站（www.ccgp.gov.cn）列入失信被执行人、重大税收违法案件当事人名单、政府采购严重失信行为记录名单；</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1.6.单位负责人为同一人或者存在直接控股、管理关系的不同供应商（包含法定代表人为同一个人的两个及两个以上法人，母公司、全资子公司及其控股公司），不得参加同一合同项下的政府采购活动。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2、落实政府采购政策需满足的资格要求：</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2.1.中小企业政策</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□本项目不专门面向中小企业预留采购份额。</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☑本项目专门面向  ☑中小  □小微企业  采购。即：提供的货物全部由符合政策要求的中小/小微企业制造、服务全部由符合政策要求的中小/小微企业承接。</w:t>
      </w:r>
      <w:r>
        <w:rPr>
          <w:rFonts w:hint="eastAsia" w:ascii="宋体" w:hAnsi="宋体" w:cs="宋体"/>
          <w:sz w:val="24"/>
        </w:rPr>
      </w:r>
      <w:r/>
    </w:p>
    <w:p>
      <w:pPr>
        <w:pStyle w:val="1270"/>
        <w:ind w:firstLine="480"/>
        <w:spacing w:line="440" w:lineRule="exact"/>
        <w:rPr>
          <w:rFonts w:hint="eastAsia" w:ascii="宋体" w:hAnsi="宋体" w:cs="宋体"/>
          <w:sz w:val="24"/>
          <w:highlight w:val="none"/>
        </w:rPr>
      </w:pPr>
      <w:r>
        <w:rPr>
          <w:rFonts w:hint="eastAsia" w:ascii="宋体" w:hAnsi="宋体" w:cs="宋体"/>
          <w:sz w:val="24"/>
        </w:rPr>
        <w:t xml:space="preserve">□本项目预留部分采购项目预算专门面向中小企业采购。对于预留份额，提供的货物由符</w:t>
      </w:r>
      <w:r>
        <w:rPr>
          <w:rFonts w:hint="eastAsia" w:ascii="宋体" w:hAnsi="宋体" w:cs="宋体"/>
          <w:sz w:val="24"/>
          <w:highlight w:val="none"/>
        </w:rPr>
        <w:t xml:space="preserve">合政策要求的中小企业制造、服务由符合政策要求的中小企业承接。预留份额通过以下措施进行：/。</w:t>
      </w:r>
      <w:r>
        <w:rPr>
          <w:rFonts w:hint="eastAsia" w:ascii="宋体" w:hAnsi="宋体" w:cs="宋体"/>
          <w:sz w:val="24"/>
          <w:highlight w:val="none"/>
        </w:rPr>
      </w:r>
      <w:r/>
    </w:p>
    <w:p>
      <w:pPr>
        <w:pStyle w:val="1270"/>
        <w:ind w:firstLine="480"/>
        <w:spacing w:line="400" w:lineRule="exact"/>
        <w:widowControl/>
        <w:rPr>
          <w:rFonts w:hint="eastAsia" w:ascii="宋体" w:hAnsi="宋体" w:cs="宋体"/>
          <w:bCs/>
          <w:sz w:val="24"/>
          <w:highlight w:val="none"/>
        </w:rPr>
      </w:pPr>
      <w:r>
        <w:rPr>
          <w:rFonts w:hint="eastAsia" w:ascii="宋体" w:hAnsi="宋体" w:cs="宋体"/>
          <w:sz w:val="24"/>
          <w:highlight w:val="none"/>
        </w:rPr>
        <w:t xml:space="preserve">2.2.其它落实政府采购政策的资格要求：</w:t>
      </w:r>
      <w:r>
        <w:rPr>
          <w:rFonts w:ascii="宋体" w:hAnsi="宋体" w:cs="宋体"/>
          <w:color w:val="000000"/>
          <w:sz w:val="24"/>
          <w:highlight w:val="none"/>
        </w:rPr>
        <w:t xml:space="preserve">（1）投标供应商授权代理人、项目负责人必须为投标供应商企业在职员工，需提供由法定的社保收缴部门出具的距磋商截止日前半年内任意3个月投标供应商依法为其缴纳社会保险证明</w:t>
      </w:r>
      <w:r>
        <w:rPr>
          <w:rFonts w:ascii="宋体" w:hAnsi="宋体" w:cs="宋体"/>
          <w:b/>
          <w:color w:val="000000"/>
          <w:sz w:val="24"/>
          <w:highlight w:val="none"/>
        </w:rPr>
        <w:t xml:space="preserve">（由相关主管部门出具，如投标供应商成立时间迟于要求开始的时间，则时间要求为投标供应商成立时间至截止时间；法定代表人亲自参加投标或担任本项目的项目负责人的除外；社保缴费证明必须提交带有社保部门红章的或含有县(区)级及以上社保部门电子签章或带二维码验证的扫描件）</w:t>
      </w:r>
      <w:r>
        <w:rPr>
          <w:rFonts w:ascii="宋体" w:hAnsi="宋体" w:cs="宋体"/>
          <w:color w:val="000000"/>
          <w:sz w:val="24"/>
          <w:highlight w:val="none"/>
        </w:rPr>
        <w:t xml:space="preserve">。</w:t>
      </w:r>
      <w:r>
        <w:rPr>
          <w:rFonts w:hint="eastAsia" w:ascii="宋体" w:hAnsi="宋体" w:cs="宋体"/>
          <w:bCs/>
          <w:sz w:val="24"/>
          <w:highlight w:val="none"/>
        </w:rPr>
      </w:r>
      <w:r/>
    </w:p>
    <w:p>
      <w:pPr>
        <w:pStyle w:val="1270"/>
        <w:ind w:firstLine="480"/>
        <w:spacing w:line="440" w:lineRule="exact"/>
        <w:rPr>
          <w:rFonts w:hint="eastAsia" w:ascii="宋体" w:hAnsi="宋体" w:cs="宋体"/>
          <w:i/>
          <w:iCs/>
          <w:sz w:val="24"/>
          <w:u w:val="single"/>
        </w:rPr>
      </w:pPr>
      <w:r>
        <w:rPr>
          <w:rFonts w:hint="eastAsia" w:ascii="宋体" w:hAnsi="宋体" w:cs="宋体"/>
          <w:sz w:val="24"/>
        </w:rPr>
        <w:t xml:space="preserve">3、本项目的特定资格要求：</w:t>
      </w:r>
      <w:r>
        <w:rPr>
          <w:rFonts w:hint="eastAsia" w:ascii="宋体" w:hAnsi="宋体" w:cs="宋体"/>
          <w:i/>
          <w:iCs/>
          <w:sz w:val="24"/>
          <w:u w:val="single"/>
        </w:rPr>
      </w:r>
      <w:r/>
    </w:p>
    <w:p>
      <w:pPr>
        <w:pStyle w:val="1270"/>
        <w:ind w:firstLine="480"/>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3.1.本项目是否接受分支机构参与投标：□是   ☑否；</w:t>
      </w:r>
      <w:r>
        <w:rPr>
          <w:rFonts w:hint="eastAsia" w:ascii="宋体" w:hAnsi="宋体" w:cs="宋体"/>
          <w:sz w:val="24"/>
        </w:rPr>
      </w:r>
      <w:r/>
    </w:p>
    <w:p>
      <w:pPr>
        <w:pStyle w:val="1270"/>
        <w:ind w:firstLine="480"/>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3.2.本项目是否属于政府购买服务：</w:t>
      </w:r>
      <w:r>
        <w:rPr>
          <w:rFonts w:hint="eastAsia" w:ascii="宋体" w:hAnsi="宋体" w:cs="宋体"/>
          <w:sz w:val="24"/>
        </w:rPr>
      </w:r>
      <w:r/>
    </w:p>
    <w:p>
      <w:pPr>
        <w:pStyle w:val="1270"/>
        <w:ind w:left="991" w:firstLine="2"/>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p>
      <w:pPr>
        <w:pStyle w:val="1270"/>
        <w:ind w:left="991" w:firstLine="2"/>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□是，公益一类事业单位、使用事业编制且由财政拨款保障的群团组织，不得作为承接主体；</w:t>
      </w:r>
      <w:r>
        <w:rPr>
          <w:rFonts w:hint="eastAsia" w:ascii="宋体" w:hAnsi="宋体" w:cs="宋体"/>
          <w:sz w:val="24"/>
        </w:rPr>
      </w:r>
      <w:r/>
    </w:p>
    <w:p>
      <w:pPr>
        <w:pStyle w:val="1270"/>
        <w:ind w:firstLine="480"/>
        <w:spacing w:line="440" w:lineRule="exact"/>
        <w:rPr>
          <w:rFonts w:hint="eastAsia" w:ascii="宋体" w:hAnsi="宋体" w:cs="宋体"/>
          <w:i/>
          <w:iCs/>
          <w:sz w:val="24"/>
          <w:u w:val="single"/>
        </w:rPr>
      </w:pPr>
      <w:r>
        <w:rPr>
          <w:rFonts w:hint="eastAsia" w:ascii="宋体" w:hAnsi="宋体" w:cs="宋体"/>
          <w:sz w:val="24"/>
        </w:rPr>
        <w:t xml:space="preserve">3.3.其他特定资格要求：/</w:t>
      </w:r>
      <w:r>
        <w:rPr>
          <w:rFonts w:hint="eastAsia" w:ascii="宋体" w:hAnsi="宋体" w:cs="宋体"/>
          <w:color w:val="000000"/>
          <w:sz w:val="24"/>
        </w:rPr>
        <w:t xml:space="preserve">。</w:t>
      </w:r>
      <w:r>
        <w:rPr>
          <w:rFonts w:hint="eastAsia" w:ascii="宋体" w:hAnsi="宋体" w:cs="宋体"/>
          <w:i/>
          <w:iCs/>
          <w:sz w:val="24"/>
          <w:u w:val="single"/>
        </w:rPr>
      </w:r>
      <w:r/>
    </w:p>
    <w:p>
      <w:pPr>
        <w:pStyle w:val="1469"/>
        <w:jc w:val="left"/>
        <w:spacing w:before="0" w:line="440" w:lineRule="exact"/>
        <w:widowControl/>
        <w:rPr>
          <w:rFonts w:hint="eastAsia" w:ascii="宋体" w:hAnsi="宋体" w:eastAsia="宋体" w:cs="宋体"/>
          <w:sz w:val="24"/>
          <w:szCs w:val="24"/>
        </w:rPr>
      </w:pPr>
      <w:r/>
      <w:bookmarkEnd w:id="11"/>
      <w:r/>
      <w:bookmarkEnd w:id="12"/>
      <w:r/>
      <w:bookmarkStart w:id="13" w:name="_Toc35393623"/>
      <w:r/>
      <w:bookmarkStart w:id="14" w:name="_Toc35393792"/>
      <w:r>
        <w:rPr>
          <w:rFonts w:hint="eastAsia" w:ascii="宋体" w:hAnsi="宋体" w:eastAsia="宋体" w:cs="宋体"/>
          <w:sz w:val="24"/>
          <w:szCs w:val="24"/>
        </w:rPr>
        <w:t xml:space="preserve">三、获取采购文件</w:t>
      </w:r>
      <w:bookmarkEnd w:id="13"/>
      <w:r/>
      <w:bookmarkEnd w:id="14"/>
      <w:r>
        <w:rPr>
          <w:rFonts w:hint="eastAsia" w:ascii="宋体" w:hAnsi="宋体" w:eastAsia="宋体" w:cs="宋体"/>
          <w:sz w:val="24"/>
          <w:szCs w:val="24"/>
        </w:rPr>
      </w:r>
      <w:r/>
    </w:p>
    <w:p>
      <w:pPr>
        <w:pStyle w:val="1270"/>
        <w:ind w:firstLine="480"/>
        <w:spacing w:line="440" w:lineRule="exact"/>
        <w:rPr>
          <w:rFonts w:hint="eastAsia" w:ascii="宋体" w:hAnsi="宋体" w:cs="宋体"/>
          <w:sz w:val="24"/>
          <w:lang w:bidi="ar"/>
        </w:rPr>
      </w:pPr>
      <w:r>
        <w:rPr>
          <w:rFonts w:hint="eastAsia" w:ascii="宋体" w:hAnsi="宋体" w:cs="宋体"/>
          <w:sz w:val="24"/>
          <w:lang w:bidi="ar"/>
        </w:rPr>
        <w:t xml:space="preserve">1、时间：</w:t>
      </w:r>
      <w:r>
        <w:rPr>
          <w:rFonts w:hint="eastAsia" w:ascii="宋体" w:hAnsi="宋体" w:cs="宋体"/>
          <w:b/>
          <w:sz w:val="24"/>
        </w:rPr>
        <w:t xml:space="preserve">自磋商文件公告发布之日起5个工作日</w:t>
      </w:r>
      <w:r>
        <w:rPr>
          <w:rFonts w:hint="eastAsia" w:ascii="宋体" w:hAnsi="宋体" w:cs="宋体"/>
          <w:sz w:val="24"/>
          <w:lang w:bidi="ar"/>
        </w:rPr>
      </w:r>
      <w:r/>
    </w:p>
    <w:p>
      <w:pPr>
        <w:pStyle w:val="1270"/>
        <w:ind w:firstLine="480"/>
        <w:spacing w:line="440" w:lineRule="exact"/>
        <w:rPr>
          <w:rFonts w:hint="eastAsia" w:ascii="宋体" w:hAnsi="宋体" w:cs="宋体"/>
          <w:b/>
          <w:sz w:val="24"/>
        </w:rPr>
      </w:pPr>
      <w:r>
        <w:rPr>
          <w:rFonts w:hint="eastAsia" w:ascii="宋体" w:hAnsi="宋体" w:cs="宋体"/>
          <w:sz w:val="24"/>
          <w:lang w:bidi="ar"/>
        </w:rPr>
        <w:t xml:space="preserve">2、地点：</w:t>
      </w:r>
      <w:r>
        <w:rPr>
          <w:rFonts w:hint="eastAsia" w:ascii="宋体" w:hAnsi="宋体" w:cs="宋体"/>
          <w:b/>
          <w:sz w:val="24"/>
        </w:rPr>
        <w:t xml:space="preserve">苏采云政府采购一体化平台</w:t>
      </w:r>
      <w:r>
        <w:rPr>
          <w:rFonts w:hint="eastAsia" w:ascii="宋体" w:hAnsi="宋体" w:cs="宋体"/>
          <w:b/>
          <w:sz w:val="24"/>
        </w:rPr>
      </w:r>
      <w:r/>
    </w:p>
    <w:p>
      <w:pPr>
        <w:pStyle w:val="1270"/>
        <w:ind w:firstLine="480"/>
        <w:spacing w:line="440" w:lineRule="exact"/>
        <w:rPr>
          <w:rFonts w:hint="eastAsia" w:ascii="宋体" w:hAnsi="宋体" w:cs="宋体"/>
          <w:color w:val="000000"/>
          <w:sz w:val="24"/>
        </w:rPr>
      </w:pPr>
      <w:r>
        <w:rPr>
          <w:rFonts w:hint="eastAsia" w:ascii="宋体" w:hAnsi="宋体" w:cs="宋体"/>
          <w:sz w:val="24"/>
          <w:lang w:bidi="ar"/>
        </w:rPr>
        <w:t xml:space="preserve">3、方式：</w:t>
      </w:r>
      <w:r>
        <w:rPr>
          <w:rFonts w:hint="eastAsia" w:ascii="宋体" w:hAnsi="宋体" w:cs="宋体"/>
          <w:color w:val="000000"/>
          <w:sz w:val="24"/>
        </w:rPr>
        <w:t xml:space="preserve">供应商持CA数字认证证书登录苏采云政府采购一体化平台（http://jszfcg.jscz.gov.cn/jszc/login）获取电子版磋商文件。</w:t>
      </w:r>
      <w:r>
        <w:rPr>
          <w:rFonts w:hint="eastAsia" w:ascii="宋体" w:hAnsi="宋体" w:cs="宋体"/>
          <w:color w:val="000000"/>
          <w:sz w:val="24"/>
        </w:rPr>
      </w:r>
      <w:r/>
    </w:p>
    <w:p>
      <w:pPr>
        <w:pStyle w:val="1469"/>
        <w:jc w:val="left"/>
        <w:spacing w:before="0" w:line="440" w:lineRule="exact"/>
        <w:widowControl/>
        <w:rPr>
          <w:rFonts w:hint="eastAsia" w:ascii="宋体" w:hAnsi="宋体" w:eastAsia="宋体" w:cs="宋体"/>
          <w:sz w:val="24"/>
          <w:szCs w:val="24"/>
        </w:rPr>
      </w:pPr>
      <w:r/>
      <w:bookmarkStart w:id="15" w:name="_Toc35393793"/>
      <w:r/>
      <w:bookmarkStart w:id="16" w:name="_Toc28359005"/>
      <w:r/>
      <w:bookmarkStart w:id="17" w:name="_Toc28359082"/>
      <w:r/>
      <w:bookmarkStart w:id="18" w:name="_Toc35393624"/>
      <w:r>
        <w:rPr>
          <w:rFonts w:hint="eastAsia" w:ascii="宋体" w:hAnsi="宋体" w:eastAsia="宋体" w:cs="宋体"/>
          <w:sz w:val="24"/>
          <w:szCs w:val="24"/>
        </w:rPr>
        <w:t xml:space="preserve">四、</w:t>
      </w:r>
      <w:bookmarkEnd w:id="15"/>
      <w:r/>
      <w:bookmarkEnd w:id="16"/>
      <w:r/>
      <w:bookmarkEnd w:id="17"/>
      <w:r/>
      <w:bookmarkEnd w:id="18"/>
      <w:r>
        <w:rPr>
          <w:rFonts w:hint="eastAsia" w:ascii="宋体" w:hAnsi="宋体" w:eastAsia="宋体" w:cs="宋体"/>
          <w:sz w:val="24"/>
          <w:szCs w:val="24"/>
        </w:rPr>
        <w:t xml:space="preserve">响应文件提交</w:t>
      </w:r>
      <w:r>
        <w:rPr>
          <w:rFonts w:hint="eastAsia" w:ascii="宋体" w:hAnsi="宋体" w:eastAsia="宋体" w:cs="宋体"/>
          <w:sz w:val="24"/>
          <w:szCs w:val="24"/>
        </w:rPr>
      </w:r>
      <w:r/>
    </w:p>
    <w:p>
      <w:pPr>
        <w:pStyle w:val="1270"/>
        <w:ind w:firstLine="480"/>
        <w:spacing w:line="440" w:lineRule="exact"/>
        <w:rPr>
          <w:rFonts w:hint="eastAsia" w:ascii="宋体" w:hAnsi="宋体" w:cs="宋体"/>
          <w:bCs/>
          <w:sz w:val="24"/>
          <w:u w:val="single"/>
        </w:rPr>
      </w:pPr>
      <w:r>
        <w:rPr>
          <w:rFonts w:hint="eastAsia" w:ascii="宋体" w:hAnsi="宋体" w:cs="宋体"/>
          <w:sz w:val="24"/>
          <w:lang w:bidi="ar"/>
        </w:rPr>
        <w:t xml:space="preserve">截止时间：</w:t>
      </w:r>
      <w:r>
        <w:rPr>
          <w:rFonts w:hint="eastAsia" w:ascii="宋体" w:hAnsi="宋体" w:cs="宋体"/>
          <w:b/>
          <w:sz w:val="24"/>
        </w:rPr>
        <w:t xml:space="preserve">2026年</w:t>
      </w:r>
      <w:r>
        <w:rPr>
          <w:rFonts w:hint="eastAsia" w:ascii="宋体" w:hAnsi="宋体" w:cs="宋体"/>
          <w:b/>
          <w:sz w:val="24"/>
          <w:lang w:val="en-US" w:eastAsia="zh-CN"/>
        </w:rPr>
        <w:t xml:space="preserve">3</w:t>
      </w:r>
      <w:r>
        <w:rPr>
          <w:rFonts w:hint="eastAsia" w:ascii="宋体" w:hAnsi="宋体" w:cs="宋体"/>
          <w:b/>
          <w:sz w:val="24"/>
        </w:rPr>
        <w:t xml:space="preserve">月</w:t>
      </w:r>
      <w:r>
        <w:rPr>
          <w:rFonts w:hint="eastAsia" w:ascii="宋体" w:hAnsi="宋体" w:cs="宋体"/>
          <w:b/>
          <w:sz w:val="24"/>
          <w:lang w:val="en-US" w:eastAsia="zh-CN"/>
        </w:rPr>
        <w:t xml:space="preserve">11</w:t>
      </w:r>
      <w:r>
        <w:rPr>
          <w:rFonts w:hint="eastAsia" w:ascii="宋体" w:hAnsi="宋体" w:cs="宋体"/>
          <w:b/>
          <w:sz w:val="24"/>
        </w:rPr>
        <w:t xml:space="preserve">日下午2点30分</w:t>
      </w:r>
      <w:r>
        <w:rPr>
          <w:rFonts w:hint="eastAsia" w:ascii="宋体" w:hAnsi="宋体" w:cs="宋体"/>
          <w:bCs/>
          <w:sz w:val="24"/>
          <w:lang w:bidi="ar"/>
        </w:rPr>
        <w:t xml:space="preserve">（北京时间）</w:t>
      </w:r>
      <w:r>
        <w:rPr>
          <w:rFonts w:hint="eastAsia" w:ascii="宋体" w:hAnsi="宋体" w:cs="宋体"/>
          <w:iCs/>
          <w:sz w:val="24"/>
          <w:lang w:bidi="ar"/>
        </w:rPr>
        <w:t xml:space="preserve">。</w:t>
      </w:r>
      <w:r>
        <w:rPr>
          <w:rFonts w:hint="eastAsia" w:ascii="宋体" w:hAnsi="宋体" w:cs="宋体"/>
          <w:bCs/>
          <w:sz w:val="24"/>
          <w:u w:val="single"/>
        </w:rPr>
      </w:r>
      <w:r/>
    </w:p>
    <w:p>
      <w:pPr>
        <w:pStyle w:val="1270"/>
        <w:ind w:firstLine="480"/>
        <w:spacing w:line="440" w:lineRule="exact"/>
        <w:rPr>
          <w:rFonts w:hint="eastAsia" w:ascii="宋体" w:hAnsi="宋体" w:cs="宋体"/>
          <w:sz w:val="24"/>
          <w:lang w:val="zh-TW" w:bidi="ar"/>
        </w:rPr>
      </w:pPr>
      <w:r>
        <w:rPr>
          <w:rFonts w:hint="eastAsia" w:ascii="宋体" w:hAnsi="宋体" w:cs="宋体"/>
          <w:sz w:val="24"/>
          <w:lang w:bidi="ar"/>
        </w:rPr>
        <w:t xml:space="preserve">地点：</w:t>
      </w:r>
      <w:r>
        <w:rPr>
          <w:rFonts w:hint="eastAsia" w:ascii="宋体" w:hAnsi="宋体" w:cs="宋体"/>
          <w:b/>
          <w:sz w:val="24"/>
        </w:rPr>
        <w:t xml:space="preserve">本项目采用不见面交易方式，无需到现场提交，供应商登录苏采云政府采购一体化平台供应商端，通过系统在线提交电子响应文件。</w:t>
      </w:r>
      <w:r>
        <w:rPr>
          <w:rFonts w:hint="eastAsia" w:ascii="宋体" w:hAnsi="宋体" w:cs="宋体"/>
          <w:sz w:val="24"/>
          <w:lang w:val="zh-TW" w:bidi="ar"/>
        </w:rPr>
      </w:r>
      <w:r/>
    </w:p>
    <w:p>
      <w:pPr>
        <w:pStyle w:val="1469"/>
        <w:jc w:val="left"/>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五、开启</w:t>
      </w:r>
      <w:r>
        <w:rPr>
          <w:rFonts w:hint="eastAsia" w:ascii="宋体" w:hAnsi="宋体" w:eastAsia="宋体" w:cs="宋体"/>
          <w:sz w:val="24"/>
          <w:szCs w:val="24"/>
        </w:rPr>
      </w:r>
      <w:r/>
    </w:p>
    <w:p>
      <w:pPr>
        <w:pStyle w:val="1270"/>
        <w:ind w:firstLine="480"/>
        <w:spacing w:line="440" w:lineRule="exact"/>
        <w:rPr>
          <w:rFonts w:hint="eastAsia" w:ascii="宋体" w:hAnsi="宋体" w:cs="宋体"/>
          <w:bCs/>
          <w:sz w:val="24"/>
          <w:u w:val="single"/>
        </w:rPr>
      </w:pPr>
      <w:r>
        <w:rPr>
          <w:rFonts w:hint="eastAsia" w:ascii="宋体" w:hAnsi="宋体" w:cs="宋体"/>
          <w:sz w:val="24"/>
          <w:lang w:bidi="ar"/>
        </w:rPr>
        <w:t xml:space="preserve">时间：</w:t>
      </w:r>
      <w:r>
        <w:rPr>
          <w:rFonts w:hint="eastAsia" w:ascii="宋体" w:hAnsi="宋体" w:cs="宋体"/>
          <w:b/>
          <w:sz w:val="24"/>
        </w:rPr>
        <w:t xml:space="preserve">2026年</w:t>
      </w:r>
      <w:r>
        <w:rPr>
          <w:rFonts w:hint="eastAsia" w:ascii="宋体" w:hAnsi="宋体" w:cs="宋体"/>
          <w:b/>
          <w:sz w:val="24"/>
          <w:lang w:val="en-US" w:eastAsia="zh-CN"/>
        </w:rPr>
        <w:t xml:space="preserve">3</w:t>
      </w:r>
      <w:r>
        <w:rPr>
          <w:rFonts w:hint="eastAsia" w:ascii="宋体" w:hAnsi="宋体" w:cs="宋体"/>
          <w:b/>
          <w:sz w:val="24"/>
        </w:rPr>
        <w:t xml:space="preserve">月</w:t>
      </w:r>
      <w:r>
        <w:rPr>
          <w:rFonts w:hint="eastAsia" w:ascii="宋体" w:hAnsi="宋体" w:cs="宋体"/>
          <w:b/>
          <w:sz w:val="24"/>
          <w:lang w:val="en-US" w:eastAsia="zh-CN"/>
        </w:rPr>
        <w:t xml:space="preserve">11</w:t>
      </w:r>
      <w:r>
        <w:rPr>
          <w:rFonts w:hint="eastAsia" w:ascii="宋体" w:hAnsi="宋体" w:cs="宋体"/>
          <w:b/>
          <w:sz w:val="24"/>
        </w:rPr>
        <w:t xml:space="preserve">日下午2点30分</w:t>
      </w:r>
      <w:r>
        <w:rPr>
          <w:rFonts w:hint="eastAsia" w:ascii="宋体" w:hAnsi="宋体" w:cs="宋体"/>
          <w:bCs/>
          <w:sz w:val="24"/>
          <w:lang w:bidi="ar"/>
        </w:rPr>
        <w:t xml:space="preserve">（北京时间）</w:t>
      </w:r>
      <w:r>
        <w:rPr>
          <w:rFonts w:hint="eastAsia" w:ascii="宋体" w:hAnsi="宋体" w:cs="宋体"/>
          <w:iCs/>
          <w:sz w:val="24"/>
          <w:lang w:bidi="ar"/>
        </w:rPr>
        <w:t xml:space="preserve">。</w:t>
      </w:r>
      <w:r>
        <w:rPr>
          <w:rFonts w:hint="eastAsia" w:ascii="宋体" w:hAnsi="宋体" w:cs="宋体"/>
          <w:bCs/>
          <w:sz w:val="24"/>
          <w:u w:val="single"/>
        </w:rPr>
      </w:r>
      <w:r/>
    </w:p>
    <w:p>
      <w:pPr>
        <w:pStyle w:val="1270"/>
        <w:ind w:firstLine="480"/>
        <w:spacing w:line="440" w:lineRule="exact"/>
        <w:rPr>
          <w:rFonts w:hint="eastAsia" w:ascii="宋体" w:hAnsi="宋体" w:cs="宋体"/>
          <w:bCs/>
          <w:sz w:val="24"/>
          <w:u w:val="single"/>
        </w:rPr>
      </w:pPr>
      <w:r>
        <w:rPr>
          <w:rFonts w:hint="eastAsia" w:ascii="宋体" w:hAnsi="宋体" w:cs="宋体"/>
          <w:sz w:val="24"/>
          <w:lang w:bidi="ar"/>
        </w:rPr>
        <w:t xml:space="preserve">地点：</w:t>
      </w:r>
      <w:r>
        <w:rPr>
          <w:rFonts w:hint="eastAsia" w:ascii="宋体" w:hAnsi="宋体" w:cs="宋体"/>
          <w:b/>
          <w:sz w:val="24"/>
        </w:rPr>
        <w:t xml:space="preserve">本项目采用不见面交易方式，无需到现场提交，供应商登录苏采云政府采购一体化平台供应商端，通过系统在线提交电子响应文件。</w:t>
      </w:r>
      <w:r>
        <w:rPr>
          <w:rFonts w:hint="eastAsia" w:ascii="宋体" w:hAnsi="宋体" w:cs="宋体"/>
          <w:bCs/>
          <w:sz w:val="24"/>
          <w:u w:val="single"/>
        </w:rPr>
      </w:r>
      <w:r/>
    </w:p>
    <w:p>
      <w:pPr>
        <w:pStyle w:val="1469"/>
        <w:jc w:val="left"/>
        <w:spacing w:before="0" w:line="440" w:lineRule="exact"/>
        <w:rPr>
          <w:rFonts w:hint="eastAsia" w:ascii="宋体" w:hAnsi="宋体" w:eastAsia="宋体" w:cs="宋体"/>
          <w:sz w:val="24"/>
          <w:szCs w:val="24"/>
        </w:rPr>
      </w:pPr>
      <w:r/>
      <w:bookmarkStart w:id="19" w:name="_Toc35393794"/>
      <w:r/>
      <w:bookmarkStart w:id="20" w:name="_Toc28359084"/>
      <w:r/>
      <w:bookmarkStart w:id="21" w:name="_Toc28359007"/>
      <w:r/>
      <w:bookmarkStart w:id="22" w:name="_Toc35393625"/>
      <w:r>
        <w:rPr>
          <w:rFonts w:hint="eastAsia" w:ascii="宋体" w:hAnsi="宋体" w:eastAsia="宋体" w:cs="宋体"/>
          <w:sz w:val="24"/>
          <w:szCs w:val="24"/>
        </w:rPr>
        <w:t xml:space="preserve">六、公告期限</w:t>
      </w:r>
      <w:bookmarkEnd w:id="19"/>
      <w:r/>
      <w:bookmarkEnd w:id="20"/>
      <w:r/>
      <w:bookmarkEnd w:id="21"/>
      <w:r/>
      <w:bookmarkEnd w:id="22"/>
      <w:r>
        <w:rPr>
          <w:rFonts w:hint="eastAsia" w:ascii="宋体" w:hAnsi="宋体" w:eastAsia="宋体" w:cs="宋体"/>
          <w:sz w:val="24"/>
          <w:szCs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自本公告发布之日起五个工作日。</w:t>
      </w:r>
      <w:r>
        <w:rPr>
          <w:rFonts w:hint="eastAsia" w:ascii="宋体" w:hAnsi="宋体" w:cs="宋体"/>
          <w:sz w:val="24"/>
        </w:rPr>
      </w:r>
      <w:r/>
    </w:p>
    <w:p>
      <w:pPr>
        <w:pStyle w:val="1469"/>
        <w:jc w:val="left"/>
        <w:spacing w:before="0" w:line="440" w:lineRule="exact"/>
        <w:rPr>
          <w:rFonts w:hint="eastAsia" w:ascii="宋体" w:hAnsi="宋体" w:eastAsia="宋体" w:cs="宋体"/>
          <w:sz w:val="24"/>
          <w:szCs w:val="24"/>
        </w:rPr>
      </w:pPr>
      <w:r/>
      <w:bookmarkStart w:id="23" w:name="_Toc35393795"/>
      <w:r/>
      <w:bookmarkStart w:id="24" w:name="_Toc35393626"/>
      <w:r>
        <w:rPr>
          <w:rFonts w:hint="eastAsia" w:ascii="宋体" w:hAnsi="宋体" w:eastAsia="宋体" w:cs="宋体"/>
          <w:sz w:val="24"/>
          <w:szCs w:val="24"/>
        </w:rPr>
        <w:t xml:space="preserve">七、其他补充事宜</w:t>
      </w:r>
      <w:bookmarkEnd w:id="23"/>
      <w:r/>
      <w:bookmarkEnd w:id="24"/>
      <w:r>
        <w:rPr>
          <w:rFonts w:hint="eastAsia" w:ascii="宋体" w:hAnsi="宋体" w:eastAsia="宋体" w:cs="宋体"/>
          <w:sz w:val="24"/>
          <w:szCs w:val="24"/>
        </w:rPr>
      </w:r>
      <w:r/>
    </w:p>
    <w:p>
      <w:pPr>
        <w:pStyle w:val="1270"/>
        <w:ind w:firstLine="480"/>
        <w:spacing w:line="440" w:lineRule="exact"/>
        <w:rPr>
          <w:rFonts w:hint="eastAsia" w:ascii="宋体" w:hAnsi="宋体" w:cs="宋体"/>
          <w:sz w:val="24"/>
        </w:rPr>
      </w:pPr>
      <w:r/>
      <w:bookmarkStart w:id="25" w:name="_Toc35393627"/>
      <w:r/>
      <w:bookmarkStart w:id="26" w:name="_Toc35393796"/>
      <w:r/>
      <w:bookmarkStart w:id="27" w:name="_Toc28359008"/>
      <w:r/>
      <w:bookmarkStart w:id="28" w:name="_Toc28359085"/>
      <w:r>
        <w:rPr>
          <w:rFonts w:hint="eastAsia" w:ascii="宋体" w:hAnsi="宋体" w:cs="宋体"/>
          <w:sz w:val="24"/>
        </w:rPr>
        <w:t xml:space="preserve">1、本项目需要落实的政府采购政策：</w:t>
      </w:r>
      <w:r>
        <w:rPr>
          <w:rFonts w:hint="eastAsia" w:ascii="宋体" w:hAnsi="宋体" w:cs="宋体"/>
          <w:sz w:val="24"/>
          <w:lang w:bidi="ar"/>
        </w:rPr>
        <w:t xml:space="preserve">无。</w:t>
      </w:r>
      <w:r>
        <w:rPr>
          <w:rFonts w:hint="eastAsia" w:ascii="宋体" w:hAnsi="宋体" w:cs="宋体"/>
          <w:sz w:val="24"/>
        </w:rPr>
        <w:t xml:space="preserve"> </w:t>
      </w:r>
      <w:r>
        <w:rPr>
          <w:rFonts w:hint="eastAsia" w:ascii="宋体" w:hAnsi="宋体" w:cs="宋体"/>
          <w:sz w:val="24"/>
        </w:rPr>
      </w:r>
      <w:r/>
    </w:p>
    <w:p>
      <w:pPr>
        <w:pStyle w:val="1270"/>
        <w:ind w:firstLine="480"/>
        <w:spacing w:line="440" w:lineRule="exact"/>
        <w:rPr>
          <w:rFonts w:hint="eastAsia" w:ascii="宋体" w:hAnsi="宋体" w:cs="宋体"/>
          <w:color w:val="000000"/>
          <w:sz w:val="24"/>
        </w:rPr>
      </w:pPr>
      <w:r>
        <w:rPr>
          <w:rFonts w:hint="eastAsia" w:ascii="宋体" w:hAnsi="宋体" w:cs="宋体"/>
          <w:sz w:val="24"/>
          <w:lang w:bidi="ar"/>
        </w:rPr>
        <w:t xml:space="preserve">2、</w:t>
      </w:r>
      <w:r>
        <w:rPr>
          <w:rFonts w:hint="eastAsia" w:ascii="宋体" w:hAnsi="宋体" w:cs="宋体"/>
          <w:color w:val="000000"/>
          <w:sz w:val="24"/>
        </w:rPr>
        <w:t xml:space="preserve">现场踏勘：采购人不组织，供应商自行踏勘   </w:t>
      </w:r>
      <w:r>
        <w:rPr>
          <w:rFonts w:hint="eastAsia" w:ascii="宋体" w:hAnsi="宋体" w:cs="宋体"/>
          <w:color w:val="000000"/>
          <w:sz w:val="24"/>
          <w:lang w:bidi="ar"/>
        </w:rPr>
        <w:t xml:space="preserve">  </w:t>
      </w:r>
      <w:r>
        <w:rPr>
          <w:rFonts w:hint="eastAsia" w:ascii="宋体" w:hAnsi="宋体" w:cs="宋体"/>
          <w:color w:val="000000"/>
          <w:sz w:val="24"/>
        </w:rPr>
      </w:r>
      <w:r/>
    </w:p>
    <w:p>
      <w:pPr>
        <w:pStyle w:val="1270"/>
        <w:ind w:firstLine="480"/>
        <w:spacing w:line="440" w:lineRule="exact"/>
        <w:rPr>
          <w:rFonts w:hint="eastAsia" w:ascii="宋体" w:hAnsi="宋体" w:cs="宋体"/>
          <w:sz w:val="24"/>
          <w:lang w:bidi="ar"/>
        </w:rPr>
      </w:pPr>
      <w:r>
        <w:rPr>
          <w:rFonts w:hint="eastAsia" w:ascii="宋体" w:hAnsi="宋体" w:cs="宋体"/>
          <w:color w:val="000000"/>
          <w:sz w:val="24"/>
        </w:rPr>
        <w:t xml:space="preserve">3、标前答疑：供应商对磋商文件如有疑问，请将疑问于</w:t>
      </w:r>
      <w:r>
        <w:rPr>
          <w:rFonts w:hint="eastAsia" w:ascii="宋体" w:hAnsi="宋体" w:cs="宋体"/>
          <w:b/>
          <w:bCs/>
          <w:color w:val="000000"/>
          <w:sz w:val="24"/>
        </w:rPr>
        <w:t xml:space="preserve">2026年</w:t>
      </w:r>
      <w:r>
        <w:rPr>
          <w:rFonts w:hint="eastAsia" w:ascii="宋体" w:hAnsi="宋体" w:cs="宋体"/>
          <w:b/>
          <w:bCs/>
          <w:color w:val="000000"/>
          <w:sz w:val="24"/>
          <w:lang w:val="en-US" w:eastAsia="zh-CN"/>
        </w:rPr>
        <w:t xml:space="preserve">3</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日中午11点30分前</w:t>
      </w:r>
      <w:r>
        <w:rPr>
          <w:rFonts w:hint="eastAsia" w:ascii="宋体" w:hAnsi="宋体" w:cs="宋体"/>
          <w:color w:val="000000"/>
          <w:sz w:val="24"/>
        </w:rPr>
        <w:t xml:space="preserve">以书面形式递交或电子邮件（jslcztb@163.com）至江苏龙城招投标有限公司</w:t>
      </w:r>
      <w:r>
        <w:rPr>
          <w:rFonts w:hint="eastAsia" w:ascii="宋体" w:hAnsi="宋体" w:cs="宋体"/>
          <w:sz w:val="24"/>
          <w:lang w:bidi="ar"/>
        </w:rPr>
      </w:r>
      <w:r/>
    </w:p>
    <w:p>
      <w:pPr>
        <w:pStyle w:val="1270"/>
        <w:ind w:firstLine="480"/>
        <w:jc w:val="left"/>
        <w:spacing w:line="440" w:lineRule="exact"/>
        <w:widowControl/>
        <w:rPr>
          <w:rFonts w:hint="eastAsia" w:ascii="宋体" w:hAnsi="宋体" w:cs="宋体"/>
          <w:bCs/>
          <w:sz w:val="24"/>
          <w:lang w:bidi="ar"/>
        </w:rPr>
      </w:pPr>
      <w:r>
        <w:rPr>
          <w:rFonts w:hint="eastAsia" w:ascii="宋体" w:hAnsi="宋体" w:cs="宋体"/>
          <w:sz w:val="24"/>
          <w:lang w:bidi="ar"/>
        </w:rPr>
        <w:t xml:space="preserve">4、本项目采用全流程电子化采购方式，请供应商认真学习苏采云政府采购一体化平台发布的相关操作手册，办理CA认证证书、进行苏采云政府采购一体化平台注册绑定，并认真核实</w:t>
      </w:r>
      <w:r>
        <w:rPr>
          <w:rFonts w:hint="eastAsia" w:ascii="宋体" w:hAnsi="宋体" w:cs="宋体"/>
          <w:bCs/>
          <w:sz w:val="24"/>
          <w:lang w:bidi="ar"/>
        </w:rPr>
        <w:t xml:space="preserve">数字认证证书情况确认是否符合本项目电子化采购流程要求。</w:t>
      </w:r>
      <w:r>
        <w:rPr>
          <w:rFonts w:hint="eastAsia" w:ascii="宋体" w:hAnsi="宋体" w:cs="宋体"/>
          <w:bCs/>
          <w:sz w:val="24"/>
          <w:lang w:bidi="ar"/>
        </w:rPr>
      </w:r>
      <w:r/>
    </w:p>
    <w:p>
      <w:pPr>
        <w:pStyle w:val="1270"/>
        <w:ind w:firstLine="480"/>
        <w:spacing w:line="440" w:lineRule="exact"/>
        <w:rPr>
          <w:rFonts w:hint="eastAsia" w:ascii="宋体" w:hAnsi="宋体" w:cs="宋体"/>
          <w:sz w:val="24"/>
        </w:rPr>
      </w:pPr>
      <w:r>
        <w:rPr>
          <w:rFonts w:hint="eastAsia" w:ascii="宋体" w:hAnsi="宋体" w:cs="宋体"/>
          <w:sz w:val="24"/>
          <w:lang w:bidi="ar"/>
        </w:rPr>
        <w:t xml:space="preserve">技术支持服务热线    0519-85588210</w:t>
      </w:r>
      <w:r>
        <w:rPr>
          <w:rFonts w:hint="eastAsia" w:ascii="宋体" w:hAnsi="宋体" w:cs="宋体"/>
          <w:sz w:val="24"/>
        </w:rPr>
      </w:r>
      <w:r/>
    </w:p>
    <w:p>
      <w:pPr>
        <w:pStyle w:val="1270"/>
        <w:ind w:firstLine="480"/>
        <w:spacing w:line="440" w:lineRule="exact"/>
        <w:rPr>
          <w:rFonts w:hint="eastAsia" w:ascii="宋体" w:hAnsi="宋体" w:cs="宋体"/>
          <w:sz w:val="24"/>
          <w:lang w:bidi="ar"/>
        </w:rPr>
      </w:pPr>
      <w:r>
        <w:rPr>
          <w:rFonts w:hint="eastAsia" w:ascii="宋体" w:hAnsi="宋体" w:cs="宋体"/>
          <w:sz w:val="24"/>
          <w:lang w:bidi="ar"/>
        </w:rPr>
        <w:t xml:space="preserve">CA认证证书办理（可邮寄）联系电话   0519-85588120</w:t>
      </w:r>
      <w:r>
        <w:rPr>
          <w:rFonts w:hint="eastAsia" w:ascii="宋体" w:hAnsi="宋体" w:cs="宋体"/>
          <w:sz w:val="24"/>
          <w:lang w:bidi="ar"/>
        </w:rPr>
      </w:r>
      <w:r/>
    </w:p>
    <w:p>
      <w:pPr>
        <w:pStyle w:val="1270"/>
        <w:ind w:firstLine="480"/>
        <w:jc w:val="left"/>
        <w:spacing w:line="440" w:lineRule="exact"/>
        <w:widowControl/>
        <w:rPr>
          <w:rFonts w:hint="eastAsia" w:ascii="宋体" w:hAnsi="宋体" w:cs="宋体"/>
          <w:sz w:val="24"/>
          <w:lang w:bidi="ar"/>
        </w:rPr>
      </w:pPr>
      <w:r>
        <w:rPr>
          <w:rFonts w:hint="eastAsia" w:ascii="宋体" w:hAnsi="宋体" w:cs="宋体"/>
          <w:sz w:val="24"/>
          <w:lang w:bidi="ar"/>
        </w:rPr>
        <w:t xml:space="preserve">4.1.办理CA认证证书</w:t>
      </w:r>
      <w:r>
        <w:rPr>
          <w:rFonts w:hint="eastAsia" w:ascii="宋体" w:hAnsi="宋体" w:cs="宋体"/>
          <w:sz w:val="24"/>
          <w:lang w:bidi="ar"/>
        </w:rPr>
      </w:r>
      <w:r/>
    </w:p>
    <w:p>
      <w:pPr>
        <w:pStyle w:val="1270"/>
        <w:ind w:firstLine="480"/>
        <w:jc w:val="left"/>
        <w:spacing w:line="440" w:lineRule="exact"/>
        <w:widowControl/>
        <w:rPr>
          <w:rFonts w:hint="eastAsia" w:ascii="宋体" w:hAnsi="宋体" w:cs="宋体"/>
          <w:sz w:val="24"/>
        </w:rPr>
      </w:pPr>
      <w:r>
        <w:rPr>
          <w:rFonts w:hint="eastAsia" w:ascii="宋体" w:hAnsi="宋体" w:cs="宋体"/>
          <w:sz w:val="24"/>
          <w:lang w:bidi="ar"/>
        </w:rPr>
        <w:t xml:space="preserve">供应商登录常州市政府采购网“下载中心”下载并查阅 “</w:t>
      </w:r>
      <w:r>
        <w:rPr>
          <w:rFonts w:hint="eastAsia" w:ascii="宋体" w:hAnsi="宋体" w:cs="宋体"/>
          <w:sz w:val="24"/>
        </w:rPr>
        <w:t xml:space="preserve">苏采云政府采购一体化平台</w:t>
      </w:r>
      <w:r>
        <w:rPr>
          <w:rFonts w:hint="eastAsia" w:ascii="宋体" w:hAnsi="宋体" w:cs="宋体"/>
          <w:sz w:val="24"/>
          <w:lang w:bidi="ar"/>
        </w:rPr>
        <w:t xml:space="preserve">（供应商）国信CA证书办理指南”，按照程序要求办理。</w:t>
      </w:r>
      <w:r>
        <w:rPr>
          <w:rFonts w:hint="eastAsia" w:ascii="宋体" w:hAnsi="宋体" w:cs="宋体"/>
          <w:sz w:val="24"/>
        </w:rPr>
      </w:r>
      <w:r/>
    </w:p>
    <w:p>
      <w:pPr>
        <w:pStyle w:val="1270"/>
        <w:ind w:firstLine="480"/>
        <w:spacing w:line="440" w:lineRule="exact"/>
        <w:rPr>
          <w:rFonts w:hint="eastAsia" w:ascii="宋体" w:hAnsi="宋体" w:cs="宋体"/>
          <w:sz w:val="24"/>
          <w:lang w:bidi="ar"/>
        </w:rPr>
      </w:pPr>
      <w:r>
        <w:rPr>
          <w:rFonts w:hint="eastAsia" w:ascii="宋体" w:hAnsi="宋体" w:cs="宋体"/>
          <w:sz w:val="24"/>
          <w:lang w:bidi="ar"/>
        </w:rPr>
        <w:t xml:space="preserve">4.2.注册</w:t>
      </w:r>
      <w:r>
        <w:rPr>
          <w:rFonts w:hint="eastAsia" w:ascii="宋体" w:hAnsi="宋体" w:cs="宋体"/>
          <w:sz w:val="24"/>
          <w:lang w:bidi="ar"/>
        </w:rPr>
      </w:r>
      <w:r/>
    </w:p>
    <w:p>
      <w:pPr>
        <w:pStyle w:val="1270"/>
        <w:ind w:firstLine="480"/>
        <w:spacing w:line="440" w:lineRule="exact"/>
        <w:rPr>
          <w:rFonts w:hint="eastAsia" w:ascii="宋体" w:hAnsi="宋体" w:cs="宋体"/>
          <w:sz w:val="24"/>
        </w:rPr>
      </w:pPr>
      <w:r>
        <w:rPr>
          <w:rFonts w:hint="eastAsia" w:ascii="宋体" w:hAnsi="宋体" w:cs="宋体"/>
          <w:sz w:val="24"/>
          <w:lang w:bidi="ar"/>
        </w:rPr>
        <w:t xml:space="preserve">供应商登录常州市政府采购网“下载中心”-“</w:t>
      </w:r>
      <w:r>
        <w:rPr>
          <w:rFonts w:hint="eastAsia" w:ascii="宋体" w:hAnsi="宋体" w:cs="宋体"/>
          <w:sz w:val="24"/>
        </w:rPr>
        <w:t xml:space="preserve">苏采云政府采购一体化平台</w:t>
      </w:r>
      <w:r>
        <w:rPr>
          <w:rFonts w:hint="eastAsia" w:ascii="宋体" w:hAnsi="宋体" w:cs="宋体"/>
          <w:sz w:val="24"/>
          <w:lang w:bidi="ar"/>
        </w:rPr>
        <w:t xml:space="preserve">供应商操作指南”下载相关操作手册、操作视频等，查阅后进行自助注册。</w:t>
      </w:r>
      <w:r>
        <w:rPr>
          <w:rFonts w:hint="eastAsia" w:ascii="宋体" w:hAnsi="宋体" w:cs="宋体"/>
          <w:sz w:val="24"/>
        </w:rPr>
      </w:r>
      <w:r/>
    </w:p>
    <w:p>
      <w:pPr>
        <w:pStyle w:val="1270"/>
        <w:ind w:firstLine="480"/>
        <w:jc w:val="left"/>
        <w:spacing w:line="440" w:lineRule="exact"/>
        <w:widowControl/>
        <w:rPr>
          <w:rFonts w:hint="eastAsia" w:ascii="宋体" w:hAnsi="宋体" w:cs="宋体"/>
          <w:sz w:val="24"/>
          <w:lang w:bidi="ar"/>
        </w:rPr>
      </w:pPr>
      <w:r>
        <w:rPr>
          <w:rFonts w:hint="eastAsia" w:ascii="宋体" w:hAnsi="宋体" w:cs="宋体"/>
          <w:sz w:val="24"/>
          <w:lang w:bidi="ar"/>
        </w:rPr>
        <w:t xml:space="preserve">4.3.控件、客户端下载</w:t>
      </w:r>
      <w:r>
        <w:rPr>
          <w:rFonts w:hint="eastAsia" w:ascii="宋体" w:hAnsi="宋体" w:cs="宋体"/>
          <w:sz w:val="24"/>
          <w:lang w:bidi="ar"/>
        </w:rPr>
      </w:r>
      <w:r/>
    </w:p>
    <w:p>
      <w:pPr>
        <w:pStyle w:val="1270"/>
        <w:ind w:firstLine="480"/>
        <w:jc w:val="left"/>
        <w:spacing w:line="440" w:lineRule="exact"/>
        <w:widowControl/>
        <w:rPr>
          <w:rFonts w:hint="eastAsia" w:ascii="宋体" w:hAnsi="宋体" w:cs="宋体"/>
          <w:sz w:val="24"/>
        </w:rPr>
      </w:pPr>
      <w:r>
        <w:rPr>
          <w:rFonts w:hint="eastAsia" w:ascii="宋体" w:hAnsi="宋体" w:cs="宋体"/>
          <w:sz w:val="24"/>
          <w:lang w:bidi="ar"/>
        </w:rPr>
        <w:t xml:space="preserve">供应商登录常州市政府采购网“下载中心”-“</w:t>
      </w:r>
      <w:r>
        <w:rPr>
          <w:rFonts w:hint="eastAsia" w:ascii="宋体" w:hAnsi="宋体" w:cs="宋体"/>
          <w:sz w:val="24"/>
        </w:rPr>
        <w:t xml:space="preserve">苏采云政府采购一体化平台</w:t>
      </w:r>
      <w:r>
        <w:rPr>
          <w:rFonts w:hint="eastAsia" w:ascii="宋体" w:hAnsi="宋体" w:cs="宋体"/>
          <w:sz w:val="24"/>
          <w:lang w:bidi="ar"/>
        </w:rPr>
        <w:t xml:space="preserve">供应商客户端下载下载”下载相关控件和客户端。</w:t>
      </w:r>
      <w:r>
        <w:rPr>
          <w:rFonts w:hint="eastAsia" w:ascii="宋体" w:hAnsi="宋体" w:cs="宋体"/>
          <w:sz w:val="24"/>
        </w:rPr>
      </w:r>
      <w:r/>
    </w:p>
    <w:p>
      <w:pPr>
        <w:pStyle w:val="1270"/>
        <w:ind w:firstLine="480"/>
        <w:spacing w:line="440" w:lineRule="exact"/>
        <w:rPr>
          <w:rFonts w:hint="eastAsia" w:ascii="宋体" w:hAnsi="宋体" w:cs="宋体"/>
          <w:sz w:val="24"/>
          <w:lang w:bidi="ar"/>
        </w:rPr>
      </w:pPr>
      <w:r>
        <w:rPr>
          <w:rFonts w:hint="eastAsia" w:ascii="宋体" w:hAnsi="宋体" w:cs="宋体"/>
          <w:sz w:val="24"/>
          <w:lang w:bidi="ar"/>
        </w:rPr>
        <w:t xml:space="preserve">4.4.获取电子磋商文件</w:t>
      </w:r>
      <w:r>
        <w:rPr>
          <w:rFonts w:hint="eastAsia" w:ascii="宋体" w:hAnsi="宋体" w:cs="宋体"/>
          <w:sz w:val="24"/>
          <w:lang w:bidi="ar"/>
        </w:rPr>
      </w:r>
      <w:r/>
    </w:p>
    <w:p>
      <w:pPr>
        <w:pStyle w:val="1270"/>
        <w:ind w:firstLine="480"/>
        <w:spacing w:line="440" w:lineRule="exact"/>
        <w:rPr>
          <w:rFonts w:hint="eastAsia" w:ascii="宋体" w:hAnsi="宋体" w:cs="宋体"/>
          <w:sz w:val="24"/>
          <w:lang w:bidi="ar"/>
        </w:rPr>
      </w:pPr>
      <w:r>
        <w:rPr>
          <w:rFonts w:hint="eastAsia" w:ascii="宋体" w:hAnsi="宋体" w:cs="宋体"/>
          <w:sz w:val="24"/>
          <w:lang w:bidi="ar"/>
        </w:rPr>
        <w:t xml:space="preserve">供应商持CA数字认证证书登录苏采云政府采购一体化平台获取电子磋商文件。未在规定期限内通过苏采云政府采购一体化平台获取磋商文件的</w:t>
      </w:r>
      <w:r>
        <w:rPr>
          <w:rFonts w:hint="eastAsia" w:ascii="宋体" w:hAnsi="宋体" w:cs="宋体"/>
          <w:b/>
          <w:sz w:val="24"/>
          <w:lang w:bidi="ar"/>
        </w:rPr>
        <w:t xml:space="preserve">响应无效</w:t>
      </w:r>
      <w:r>
        <w:rPr>
          <w:rFonts w:hint="eastAsia" w:ascii="宋体" w:hAnsi="宋体" w:cs="宋体"/>
          <w:sz w:val="24"/>
          <w:lang w:bidi="ar"/>
        </w:rPr>
        <w:t xml:space="preserve">。</w:t>
      </w:r>
      <w:r>
        <w:rPr>
          <w:rFonts w:hint="eastAsia" w:ascii="宋体" w:hAnsi="宋体" w:cs="宋体"/>
          <w:sz w:val="24"/>
          <w:lang w:bidi="ar"/>
        </w:rPr>
      </w:r>
      <w:r/>
    </w:p>
    <w:p>
      <w:pPr>
        <w:pStyle w:val="1270"/>
        <w:ind w:firstLine="480"/>
        <w:spacing w:line="440" w:lineRule="exact"/>
        <w:rPr>
          <w:rFonts w:hint="eastAsia" w:ascii="宋体" w:hAnsi="宋体" w:cs="宋体"/>
          <w:sz w:val="24"/>
          <w:lang w:bidi="ar"/>
        </w:rPr>
      </w:pPr>
      <w:r>
        <w:rPr>
          <w:rFonts w:hint="eastAsia" w:ascii="宋体" w:hAnsi="宋体" w:cs="宋体"/>
          <w:sz w:val="24"/>
          <w:lang w:bidi="ar"/>
        </w:rPr>
        <w:t xml:space="preserve">4.5.编制电子响应文件</w:t>
      </w:r>
      <w:r>
        <w:rPr>
          <w:rFonts w:hint="eastAsia" w:ascii="宋体" w:hAnsi="宋体" w:cs="宋体"/>
          <w:sz w:val="24"/>
          <w:lang w:bidi="ar"/>
        </w:rPr>
      </w:r>
      <w:r/>
    </w:p>
    <w:p>
      <w:pPr>
        <w:pStyle w:val="1270"/>
        <w:ind w:firstLine="480"/>
        <w:spacing w:line="440" w:lineRule="exact"/>
        <w:rPr>
          <w:rFonts w:hint="eastAsia" w:ascii="宋体" w:hAnsi="宋体" w:cs="宋体"/>
          <w:sz w:val="24"/>
          <w:lang w:bidi="ar"/>
        </w:rPr>
      </w:pPr>
      <w:r>
        <w:rPr>
          <w:rFonts w:hint="eastAsia" w:ascii="宋体" w:hAnsi="宋体" w:cs="宋体"/>
          <w:sz w:val="24"/>
          <w:lang w:bidi="ar"/>
        </w:rPr>
        <w:t xml:space="preserve">供应商应使用电子响应文件制作客户端编制电子响应文件并进行线上响应，供应商电子响应文件需要加密并加盖电子签章</w:t>
      </w:r>
      <w:r>
        <w:rPr>
          <w:rFonts w:hint="eastAsia" w:ascii="宋体" w:hAnsi="宋体" w:cs="宋体"/>
          <w:bCs/>
          <w:sz w:val="24"/>
          <w:lang w:bidi="ar"/>
        </w:rPr>
        <w:t xml:space="preserve">，如无法按照要求在电子响应文件中加盖电子签章和加密，请及时通过技术支持服务热线联系技术人员</w:t>
      </w:r>
      <w:r>
        <w:rPr>
          <w:rFonts w:hint="eastAsia" w:ascii="宋体" w:hAnsi="宋体" w:cs="宋体"/>
          <w:sz w:val="24"/>
          <w:lang w:bidi="ar"/>
        </w:rPr>
        <w:t xml:space="preserve">。</w:t>
      </w:r>
      <w:r>
        <w:rPr>
          <w:rFonts w:hint="eastAsia" w:ascii="宋体" w:hAnsi="宋体" w:cs="宋体"/>
          <w:sz w:val="24"/>
          <w:lang w:bidi="ar"/>
        </w:rPr>
      </w:r>
      <w:r/>
    </w:p>
    <w:p>
      <w:pPr>
        <w:pStyle w:val="1270"/>
        <w:ind w:firstLine="480"/>
        <w:jc w:val="left"/>
        <w:spacing w:line="440" w:lineRule="exact"/>
        <w:widowControl/>
        <w:rPr>
          <w:rFonts w:hint="eastAsia" w:ascii="宋体" w:hAnsi="宋体" w:cs="宋体"/>
          <w:sz w:val="24"/>
          <w:lang w:val="zh-TW" w:bidi="ar"/>
        </w:rPr>
      </w:pPr>
      <w:r>
        <w:rPr>
          <w:rFonts w:hint="eastAsia" w:ascii="宋体" w:hAnsi="宋体" w:cs="宋体"/>
          <w:sz w:val="24"/>
          <w:lang w:bidi="ar"/>
        </w:rPr>
        <w:t xml:space="preserve">4</w:t>
      </w:r>
      <w:r>
        <w:rPr>
          <w:rFonts w:hint="eastAsia" w:ascii="宋体" w:hAnsi="宋体" w:cs="宋体"/>
          <w:sz w:val="24"/>
          <w:lang w:val="zh-TW" w:eastAsia="zh-TW" w:bidi="ar"/>
        </w:rPr>
        <w:t xml:space="preserve">.6</w:t>
      </w:r>
      <w:r>
        <w:rPr>
          <w:rFonts w:hint="eastAsia" w:ascii="宋体" w:hAnsi="宋体" w:cs="宋体"/>
          <w:sz w:val="24"/>
          <w:lang w:bidi="ar"/>
        </w:rPr>
        <w:t xml:space="preserve">.</w:t>
      </w:r>
      <w:r>
        <w:rPr>
          <w:rFonts w:hint="eastAsia" w:ascii="宋体" w:hAnsi="宋体" w:cs="宋体"/>
          <w:sz w:val="24"/>
          <w:lang w:val="zh-TW" w:bidi="ar"/>
        </w:rPr>
        <w:t xml:space="preserve">提交电子响应文件</w:t>
      </w:r>
      <w:r>
        <w:rPr>
          <w:rFonts w:hint="eastAsia" w:ascii="宋体" w:hAnsi="宋体" w:cs="宋体"/>
          <w:sz w:val="24"/>
          <w:lang w:val="zh-TW" w:bidi="ar"/>
        </w:rPr>
      </w:r>
      <w:r/>
    </w:p>
    <w:p>
      <w:pPr>
        <w:pStyle w:val="1270"/>
        <w:ind w:firstLine="480"/>
        <w:jc w:val="left"/>
        <w:spacing w:line="440" w:lineRule="exact"/>
        <w:widowControl/>
        <w:rPr>
          <w:rFonts w:hint="eastAsia" w:ascii="宋体" w:hAnsi="宋体" w:cs="宋体"/>
          <w:sz w:val="24"/>
          <w:lang w:bidi="ar"/>
        </w:rPr>
      </w:pPr>
      <w:r>
        <w:rPr>
          <w:rFonts w:hint="eastAsia" w:ascii="宋体" w:hAnsi="宋体" w:cs="宋体"/>
          <w:sz w:val="24"/>
          <w:lang w:bidi="ar"/>
        </w:rPr>
        <w:t xml:space="preserve">供应商应于响应截止时间前在苏采云政府采购一体化平台提交电子响应文件，上传电子响应文件过程中请保持与互联网的连接畅通。</w:t>
      </w:r>
      <w:r>
        <w:rPr>
          <w:rFonts w:hint="eastAsia" w:ascii="宋体" w:hAnsi="宋体" w:cs="宋体"/>
          <w:sz w:val="24"/>
          <w:lang w:bidi="ar"/>
        </w:rPr>
      </w:r>
      <w:r/>
    </w:p>
    <w:p>
      <w:pPr>
        <w:pStyle w:val="1270"/>
        <w:ind w:firstLine="480"/>
        <w:jc w:val="left"/>
        <w:spacing w:line="440" w:lineRule="exact"/>
        <w:widowControl/>
        <w:rPr>
          <w:rFonts w:hint="eastAsia" w:ascii="宋体" w:hAnsi="宋体" w:cs="宋体"/>
          <w:sz w:val="24"/>
          <w:lang w:eastAsia="zh-TW" w:bidi="ar"/>
        </w:rPr>
      </w:pPr>
      <w:r>
        <w:rPr>
          <w:rFonts w:hint="eastAsia" w:ascii="宋体" w:hAnsi="宋体" w:cs="宋体"/>
          <w:sz w:val="24"/>
          <w:lang w:bidi="ar"/>
        </w:rPr>
        <w:t xml:space="preserve">4</w:t>
      </w:r>
      <w:r>
        <w:rPr>
          <w:rFonts w:hint="eastAsia" w:ascii="宋体" w:hAnsi="宋体" w:cs="宋体"/>
          <w:sz w:val="24"/>
          <w:lang w:val="zh-TW" w:bidi="ar"/>
        </w:rPr>
        <w:t xml:space="preserve">.</w:t>
      </w:r>
      <w:r>
        <w:rPr>
          <w:rFonts w:hint="eastAsia" w:ascii="宋体" w:hAnsi="宋体" w:cs="宋体"/>
          <w:sz w:val="24"/>
          <w:lang w:val="zh-TW" w:eastAsia="zh-TW" w:bidi="ar"/>
        </w:rPr>
        <w:t xml:space="preserve">7</w:t>
      </w:r>
      <w:r>
        <w:rPr>
          <w:rFonts w:hint="eastAsia" w:ascii="宋体" w:hAnsi="宋体" w:cs="宋体"/>
          <w:sz w:val="24"/>
          <w:lang w:bidi="ar"/>
        </w:rPr>
        <w:t xml:space="preserve">.</w:t>
      </w:r>
      <w:r>
        <w:rPr>
          <w:rFonts w:hint="eastAsia" w:ascii="宋体" w:hAnsi="宋体" w:cs="宋体"/>
          <w:sz w:val="24"/>
          <w:lang w:val="zh-TW" w:bidi="ar"/>
        </w:rPr>
        <w:t xml:space="preserve">电子开标</w:t>
      </w:r>
      <w:r>
        <w:rPr>
          <w:rFonts w:hint="eastAsia" w:ascii="宋体" w:hAnsi="宋体" w:cs="宋体"/>
          <w:sz w:val="24"/>
          <w:lang w:eastAsia="zh-TW" w:bidi="ar"/>
        </w:rPr>
      </w:r>
      <w:r/>
    </w:p>
    <w:p>
      <w:pPr>
        <w:pStyle w:val="1270"/>
        <w:ind w:firstLine="480"/>
        <w:spacing w:line="440" w:lineRule="exact"/>
        <w:rPr>
          <w:rFonts w:hint="eastAsia" w:ascii="宋体" w:hAnsi="宋体" w:cs="宋体"/>
          <w:sz w:val="24"/>
          <w:lang w:val="zh-TW" w:bidi="ar"/>
        </w:rPr>
      </w:pPr>
      <w:r>
        <w:rPr>
          <w:rFonts w:hint="eastAsia" w:ascii="宋体" w:hAnsi="宋体" w:cs="宋体"/>
          <w:sz w:val="24"/>
          <w:lang w:val="zh-TW" w:bidi="ar"/>
        </w:rPr>
        <w:t xml:space="preserve">供应商使用</w:t>
      </w:r>
      <w:r>
        <w:rPr>
          <w:rFonts w:hint="eastAsia" w:ascii="宋体" w:hAnsi="宋体" w:cs="宋体"/>
          <w:sz w:val="24"/>
          <w:lang w:bidi="ar"/>
        </w:rPr>
        <w:t xml:space="preserve">CA认证证书</w:t>
      </w:r>
      <w:r>
        <w:rPr>
          <w:rFonts w:hint="eastAsia" w:ascii="宋体" w:hAnsi="宋体" w:cs="宋体"/>
          <w:sz w:val="24"/>
          <w:lang w:val="zh-TW" w:bidi="ar"/>
        </w:rPr>
        <w:t xml:space="preserve">登录</w:t>
      </w:r>
      <w:r>
        <w:rPr>
          <w:rFonts w:hint="eastAsia" w:ascii="宋体" w:hAnsi="宋体" w:cs="宋体"/>
          <w:sz w:val="24"/>
          <w:lang w:bidi="ar"/>
        </w:rPr>
        <w:t xml:space="preserve">苏采云政府采购一体化平台进行电子化不见面开标</w:t>
      </w:r>
      <w:r>
        <w:rPr>
          <w:rFonts w:hint="eastAsia" w:ascii="宋体" w:hAnsi="宋体" w:cs="宋体"/>
          <w:sz w:val="24"/>
          <w:lang w:val="zh-TW" w:bidi="ar"/>
        </w:rPr>
        <w:t xml:space="preserve">。</w:t>
      </w:r>
      <w:r>
        <w:rPr>
          <w:rFonts w:hint="eastAsia" w:ascii="宋体" w:hAnsi="宋体" w:cs="宋体"/>
          <w:sz w:val="24"/>
          <w:lang w:val="zh-TW" w:bidi="ar"/>
        </w:rPr>
      </w:r>
      <w:r/>
    </w:p>
    <w:p>
      <w:pPr>
        <w:pStyle w:val="1270"/>
        <w:ind w:firstLine="480"/>
        <w:spacing w:line="440" w:lineRule="exact"/>
        <w:rPr>
          <w:rFonts w:hint="eastAsia" w:ascii="宋体" w:hAnsi="宋体" w:cs="宋体"/>
          <w:sz w:val="24"/>
          <w:lang w:val="zh-TW" w:bidi="ar"/>
        </w:rPr>
      </w:pPr>
      <w:r>
        <w:rPr>
          <w:rFonts w:hint="eastAsia" w:ascii="宋体" w:hAnsi="宋体" w:cs="宋体"/>
          <w:sz w:val="24"/>
          <w:lang w:bidi="ar"/>
        </w:rPr>
        <w:t xml:space="preserve">4</w:t>
      </w:r>
      <w:r>
        <w:rPr>
          <w:rFonts w:hint="eastAsia" w:ascii="宋体" w:hAnsi="宋体" w:cs="宋体"/>
          <w:sz w:val="24"/>
          <w:lang w:val="zh-TW" w:bidi="ar"/>
        </w:rPr>
        <w:t xml:space="preserve">.8</w:t>
      </w:r>
      <w:r>
        <w:rPr>
          <w:rFonts w:hint="eastAsia" w:ascii="宋体" w:hAnsi="宋体" w:cs="宋体"/>
          <w:sz w:val="24"/>
          <w:lang w:bidi="ar"/>
        </w:rPr>
        <w:t xml:space="preserve">.</w:t>
      </w:r>
      <w:r>
        <w:rPr>
          <w:rFonts w:hint="eastAsia" w:ascii="宋体" w:hAnsi="宋体" w:cs="宋体"/>
          <w:sz w:val="24"/>
          <w:lang w:val="zh-TW" w:bidi="ar"/>
        </w:rPr>
        <w:t xml:space="preserve">注意事项</w:t>
      </w:r>
      <w:r>
        <w:rPr>
          <w:rFonts w:hint="eastAsia" w:ascii="宋体" w:hAnsi="宋体" w:cs="宋体"/>
          <w:sz w:val="24"/>
          <w:lang w:val="zh-TW" w:bidi="ar"/>
        </w:rPr>
      </w:r>
      <w:r/>
    </w:p>
    <w:p>
      <w:pPr>
        <w:pStyle w:val="1270"/>
        <w:ind w:firstLine="480"/>
        <w:spacing w:line="440" w:lineRule="exact"/>
        <w:rPr>
          <w:rFonts w:hint="eastAsia" w:ascii="宋体" w:hAnsi="宋体" w:cs="宋体"/>
          <w:sz w:val="24"/>
          <w:lang w:eastAsia="zh-TW"/>
        </w:rPr>
      </w:pPr>
      <w:r>
        <w:rPr>
          <w:rFonts w:hint="eastAsia" w:ascii="宋体" w:hAnsi="宋体" w:cs="宋体"/>
          <w:sz w:val="24"/>
          <w:lang w:val="zh-TW" w:bidi="ar"/>
        </w:rPr>
        <w:t xml:space="preserve">供应商在开标前应当</w:t>
      </w:r>
      <w:r>
        <w:rPr>
          <w:rFonts w:hint="eastAsia" w:ascii="宋体" w:hAnsi="宋体" w:cs="宋体"/>
          <w:sz w:val="24"/>
        </w:rPr>
        <w:t xml:space="preserve">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sz w:val="24"/>
          <w:lang w:eastAsia="zh-TW"/>
        </w:rPr>
      </w:r>
      <w:r/>
    </w:p>
    <w:p>
      <w:pPr>
        <w:pStyle w:val="1270"/>
        <w:ind w:firstLine="480"/>
        <w:spacing w:line="440" w:lineRule="exact"/>
        <w:rPr>
          <w:rFonts w:hint="eastAsia" w:ascii="宋体" w:hAnsi="宋体" w:cs="宋体"/>
          <w:sz w:val="24"/>
          <w:lang w:val="zh-TW" w:bidi="ar"/>
        </w:rPr>
      </w:pPr>
      <w:r>
        <w:rPr>
          <w:rFonts w:hint="eastAsia" w:ascii="宋体" w:hAnsi="宋体" w:cs="宋体"/>
          <w:sz w:val="24"/>
          <w:lang w:bidi="ar"/>
        </w:rPr>
        <w:t xml:space="preserve">5、</w:t>
      </w:r>
      <w:r>
        <w:rPr>
          <w:rFonts w:hint="eastAsia" w:ascii="宋体" w:hAnsi="宋体" w:cs="宋体"/>
          <w:sz w:val="24"/>
          <w:lang w:val="zh-TW" w:bidi="ar"/>
        </w:rPr>
        <w:t xml:space="preserve">关于常州市中小企业政府采购信用融资：</w:t>
      </w:r>
      <w:r>
        <w:rPr>
          <w:rFonts w:hint="eastAsia" w:ascii="宋体" w:hAnsi="宋体" w:cs="宋体"/>
          <w:sz w:val="24"/>
          <w:lang w:val="zh-TW" w:bidi="ar"/>
        </w:rPr>
      </w:r>
      <w:r/>
    </w:p>
    <w:p>
      <w:pPr>
        <w:pStyle w:val="1469"/>
        <w:ind w:firstLine="480"/>
        <w:jc w:val="left"/>
        <w:spacing w:before="0" w:line="440" w:lineRule="exact"/>
        <w:rPr>
          <w:rFonts w:hint="eastAsia" w:ascii="宋体" w:hAnsi="宋体" w:eastAsia="宋体" w:cs="宋体"/>
          <w:b w:val="0"/>
          <w:bCs/>
          <w:sz w:val="24"/>
          <w:szCs w:val="24"/>
          <w:lang w:val="zh-TW" w:bidi="ar"/>
        </w:rPr>
      </w:pPr>
      <w:r>
        <w:rPr>
          <w:rFonts w:hint="eastAsia" w:ascii="宋体" w:hAnsi="宋体" w:eastAsia="宋体" w:cs="宋体"/>
          <w:b w:val="0"/>
          <w:bCs/>
          <w:sz w:val="24"/>
          <w:szCs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b w:val="0"/>
          <w:bCs/>
          <w:sz w:val="24"/>
          <w:szCs w:val="24"/>
          <w:lang w:val="zh-TW" w:bidi="ar"/>
        </w:rPr>
      </w:r>
      <w:r/>
    </w:p>
    <w:p>
      <w:pPr>
        <w:pStyle w:val="1469"/>
        <w:jc w:val="left"/>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八、对本项目提出询问，请按以下方式联系。</w:t>
      </w:r>
      <w:bookmarkEnd w:id="25"/>
      <w:r/>
      <w:bookmarkEnd w:id="26"/>
      <w:r/>
      <w:bookmarkEnd w:id="27"/>
      <w:r/>
      <w:bookmarkEnd w:id="28"/>
      <w:r>
        <w:rPr>
          <w:rFonts w:hint="eastAsia" w:ascii="宋体" w:hAnsi="宋体" w:eastAsia="宋体" w:cs="宋体"/>
          <w:sz w:val="24"/>
          <w:szCs w:val="24"/>
        </w:rPr>
      </w:r>
      <w:r/>
    </w:p>
    <w:p>
      <w:pPr>
        <w:pStyle w:val="1270"/>
        <w:ind w:firstLine="482"/>
        <w:jc w:val="left"/>
        <w:spacing w:line="440" w:lineRule="exact"/>
        <w:widowControl/>
        <w:rPr>
          <w:rFonts w:hint="eastAsia" w:ascii="宋体" w:hAnsi="宋体" w:cs="宋体"/>
          <w:b/>
          <w:sz w:val="24"/>
        </w:rPr>
      </w:pPr>
      <w:r>
        <w:rPr>
          <w:rFonts w:hint="eastAsia" w:ascii="宋体" w:hAnsi="宋体" w:cs="宋体"/>
          <w:b/>
          <w:sz w:val="24"/>
        </w:rPr>
        <w:t xml:space="preserve">1、采购人信息</w:t>
      </w:r>
      <w:bookmarkStart w:id="29" w:name="_Toc28359009"/>
      <w:r/>
      <w:bookmarkStart w:id="30" w:name="_Toc28359086"/>
      <w:r>
        <w:rPr>
          <w:rFonts w:hint="eastAsia" w:ascii="宋体" w:hAnsi="宋体" w:cs="宋体"/>
          <w:b/>
          <w:sz w:val="24"/>
        </w:rPr>
      </w:r>
      <w:r/>
    </w:p>
    <w:p>
      <w:pPr>
        <w:pStyle w:val="1270"/>
        <w:ind w:firstLine="480"/>
        <w:jc w:val="left"/>
        <w:spacing w:line="440" w:lineRule="exact"/>
        <w:widowControl/>
        <w:rPr>
          <w:rFonts w:hint="eastAsia" w:ascii="宋体" w:hAnsi="宋体" w:cs="宋体"/>
          <w:sz w:val="24"/>
        </w:rPr>
      </w:pPr>
      <w:r>
        <w:rPr>
          <w:rFonts w:hint="eastAsia" w:ascii="宋体" w:hAnsi="宋体" w:cs="宋体"/>
          <w:sz w:val="24"/>
        </w:rPr>
        <w:t xml:space="preserve">名称：常州市生态环境监控中心溧阳分中心 </w:t>
      </w:r>
      <w:r>
        <w:rPr>
          <w:rFonts w:hint="eastAsia" w:ascii="宋体" w:hAnsi="宋体" w:cs="宋体"/>
          <w:sz w:val="24"/>
        </w:rPr>
      </w:r>
      <w:r/>
    </w:p>
    <w:p>
      <w:pPr>
        <w:pStyle w:val="1270"/>
        <w:ind w:firstLine="480"/>
        <w:jc w:val="left"/>
        <w:spacing w:line="440" w:lineRule="exact"/>
        <w:rPr>
          <w:rFonts w:hint="eastAsia" w:ascii="宋体" w:hAnsi="宋体" w:cs="宋体"/>
          <w:sz w:val="24"/>
        </w:rPr>
      </w:pPr>
      <w:r>
        <w:rPr>
          <w:rFonts w:hint="eastAsia" w:ascii="宋体" w:hAnsi="宋体" w:cs="宋体"/>
          <w:sz w:val="24"/>
        </w:rPr>
        <w:t xml:space="preserve">地址：溧阳市南大街290号</w:t>
      </w:r>
      <w:r>
        <w:rPr>
          <w:rFonts w:hint="eastAsia" w:ascii="宋体" w:hAnsi="宋体" w:cs="宋体"/>
          <w:sz w:val="24"/>
        </w:rPr>
      </w:r>
      <w:r/>
    </w:p>
    <w:p>
      <w:pPr>
        <w:pStyle w:val="1270"/>
        <w:ind w:firstLine="480"/>
        <w:jc w:val="left"/>
        <w:spacing w:line="440" w:lineRule="exact"/>
        <w:rPr>
          <w:rFonts w:ascii="宋体" w:hAnsi="宋体" w:cs="宋体"/>
          <w:sz w:val="24"/>
          <w:u w:val="single"/>
        </w:rPr>
      </w:pPr>
      <w:r>
        <w:rPr>
          <w:rFonts w:hint="eastAsia" w:ascii="宋体" w:hAnsi="宋体" w:cs="宋体"/>
          <w:sz w:val="24"/>
        </w:rPr>
        <w:t xml:space="preserve">联系方式：0519-87888232</w:t>
      </w:r>
      <w:r>
        <w:rPr>
          <w:rFonts w:ascii="宋体" w:hAnsi="宋体" w:cs="宋体"/>
          <w:sz w:val="24"/>
          <w:u w:val="single"/>
        </w:rPr>
      </w:r>
      <w:r/>
    </w:p>
    <w:p>
      <w:pPr>
        <w:pStyle w:val="1270"/>
        <w:ind w:firstLine="482"/>
        <w:jc w:val="left"/>
        <w:spacing w:line="440" w:lineRule="exact"/>
        <w:rPr>
          <w:rFonts w:hint="eastAsia" w:ascii="宋体" w:hAnsi="宋体" w:cs="宋体"/>
          <w:b/>
          <w:sz w:val="24"/>
        </w:rPr>
      </w:pPr>
      <w:r/>
      <w:bookmarkEnd w:id="29"/>
      <w:r/>
      <w:bookmarkEnd w:id="30"/>
      <w:r>
        <w:rPr>
          <w:rFonts w:hint="eastAsia" w:ascii="宋体" w:hAnsi="宋体" w:cs="宋体"/>
          <w:b/>
          <w:sz w:val="24"/>
        </w:rPr>
        <w:t xml:space="preserve">2、采购代理机构信息</w:t>
      </w:r>
      <w:r>
        <w:rPr>
          <w:rFonts w:hint="eastAsia" w:ascii="宋体" w:hAnsi="宋体" w:cs="宋体"/>
          <w:b/>
          <w:sz w:val="24"/>
        </w:rPr>
      </w:r>
      <w:r/>
    </w:p>
    <w:p>
      <w:pPr>
        <w:pStyle w:val="1270"/>
        <w:ind w:firstLine="480"/>
        <w:spacing w:line="440" w:lineRule="exact"/>
        <w:rPr>
          <w:rFonts w:hint="eastAsia" w:ascii="宋体" w:hAnsi="宋体" w:cs="宋体"/>
          <w:color w:val="000000"/>
          <w:sz w:val="24"/>
        </w:rPr>
      </w:pPr>
      <w:r/>
      <w:bookmarkStart w:id="31" w:name="_Toc28359087"/>
      <w:r/>
      <w:bookmarkStart w:id="32" w:name="_Toc28359010"/>
      <w:r>
        <w:rPr>
          <w:rFonts w:hint="eastAsia" w:ascii="宋体" w:hAnsi="宋体" w:cs="宋体"/>
          <w:color w:val="000000"/>
          <w:sz w:val="24"/>
        </w:rPr>
        <w:t xml:space="preserve">名称：江苏龙城招投标有限公司</w:t>
      </w:r>
      <w:r>
        <w:rPr>
          <w:rFonts w:hint="eastAsia" w:ascii="宋体" w:hAnsi="宋体" w:cs="宋体"/>
          <w:color w:val="000000"/>
          <w:sz w:val="24"/>
        </w:rPr>
      </w:r>
      <w:r/>
    </w:p>
    <w:p>
      <w:pPr>
        <w:pStyle w:val="1270"/>
        <w:ind w:firstLine="480"/>
        <w:spacing w:line="440" w:lineRule="exact"/>
        <w:rPr>
          <w:rFonts w:hint="eastAsia" w:ascii="宋体" w:hAnsi="宋体" w:cs="宋体"/>
          <w:color w:val="000000"/>
          <w:sz w:val="24"/>
        </w:rPr>
      </w:pPr>
      <w:r>
        <w:rPr>
          <w:rFonts w:hint="eastAsia" w:ascii="宋体" w:hAnsi="宋体" w:cs="宋体"/>
          <w:color w:val="000000"/>
          <w:sz w:val="24"/>
        </w:rPr>
        <w:t xml:space="preserve">地址：溧阳市嘉源广场3号楼2号门6楼</w:t>
      </w:r>
      <w:r>
        <w:rPr>
          <w:rFonts w:hint="eastAsia" w:ascii="宋体" w:hAnsi="宋体" w:cs="宋体"/>
          <w:color w:val="000000"/>
          <w:sz w:val="24"/>
        </w:rPr>
      </w:r>
      <w:r/>
    </w:p>
    <w:p>
      <w:pPr>
        <w:pStyle w:val="1270"/>
        <w:ind w:firstLine="480"/>
        <w:spacing w:line="440" w:lineRule="exact"/>
        <w:rPr>
          <w:rFonts w:hint="eastAsia" w:ascii="宋体" w:hAnsi="宋体" w:cs="宋体"/>
          <w:sz w:val="24"/>
          <w:u w:val="single"/>
        </w:rPr>
      </w:pPr>
      <w:r>
        <w:rPr>
          <w:rFonts w:hint="eastAsia" w:ascii="宋体" w:hAnsi="宋体" w:cs="宋体"/>
          <w:color w:val="000000"/>
          <w:sz w:val="24"/>
        </w:rPr>
        <w:t xml:space="preserve">联系方式：0519-80897906</w:t>
      </w:r>
      <w:r>
        <w:rPr>
          <w:rFonts w:hint="eastAsia" w:ascii="宋体" w:hAnsi="宋体" w:cs="宋体"/>
          <w:sz w:val="24"/>
          <w:u w:val="single"/>
        </w:rPr>
      </w:r>
      <w:r/>
    </w:p>
    <w:p>
      <w:pPr>
        <w:pStyle w:val="1270"/>
        <w:ind w:firstLine="482"/>
        <w:spacing w:line="440" w:lineRule="exact"/>
        <w:rPr>
          <w:rFonts w:hint="eastAsia" w:ascii="宋体" w:hAnsi="宋体" w:cs="宋体"/>
          <w:b/>
          <w:sz w:val="24"/>
          <w:u w:val="single"/>
        </w:rPr>
      </w:pPr>
      <w:r>
        <w:rPr>
          <w:rFonts w:hint="eastAsia" w:ascii="宋体" w:hAnsi="宋体" w:cs="宋体"/>
          <w:b/>
          <w:sz w:val="24"/>
        </w:rPr>
        <w:t xml:space="preserve">3、项目联系方式</w:t>
      </w:r>
      <w:bookmarkEnd w:id="31"/>
      <w:r/>
      <w:bookmarkEnd w:id="32"/>
      <w:r>
        <w:rPr>
          <w:rFonts w:hint="eastAsia" w:ascii="宋体" w:hAnsi="宋体" w:cs="宋体"/>
          <w:b/>
          <w:sz w:val="24"/>
          <w:u w:val="single"/>
        </w:rPr>
      </w:r>
      <w:r/>
    </w:p>
    <w:p>
      <w:pPr>
        <w:pStyle w:val="1499"/>
        <w:ind w:firstLine="480"/>
        <w:spacing w:line="440" w:lineRule="exact"/>
        <w:rPr>
          <w:rFonts w:hAnsi="宋体" w:cs="宋体"/>
          <w:color w:val="000000"/>
          <w:sz w:val="24"/>
          <w:szCs w:val="24"/>
          <w:lang w:bidi="ar"/>
        </w:rPr>
      </w:pPr>
      <w:r>
        <w:rPr>
          <w:rFonts w:hAnsi="宋体" w:cs="宋体"/>
          <w:color w:val="000000"/>
          <w:sz w:val="24"/>
          <w:szCs w:val="24"/>
        </w:rPr>
        <w:t xml:space="preserve">项目联系人：</w:t>
      </w:r>
      <w:r>
        <w:rPr>
          <w:rFonts w:hAnsi="宋体" w:cs="宋体"/>
          <w:color w:val="000000"/>
          <w:sz w:val="24"/>
          <w:szCs w:val="24"/>
          <w:lang w:bidi="ar"/>
        </w:rPr>
        <w:t xml:space="preserve">陈工</w:t>
      </w:r>
      <w:r>
        <w:rPr>
          <w:rFonts w:hAnsi="宋体" w:cs="宋体"/>
          <w:color w:val="000000"/>
          <w:sz w:val="24"/>
          <w:szCs w:val="24"/>
          <w:lang w:bidi="ar"/>
        </w:rPr>
      </w:r>
      <w:r/>
    </w:p>
    <w:p>
      <w:pPr>
        <w:pStyle w:val="1499"/>
        <w:ind w:firstLine="480"/>
        <w:spacing w:line="440" w:lineRule="exact"/>
        <w:rPr>
          <w:rFonts w:hAnsi="宋体" w:cs="宋体"/>
          <w:sz w:val="24"/>
          <w:szCs w:val="24"/>
        </w:rPr>
      </w:pPr>
      <w:r>
        <w:rPr>
          <w:rFonts w:hAnsi="宋体" w:cs="宋体"/>
          <w:color w:val="000000"/>
          <w:sz w:val="24"/>
          <w:szCs w:val="24"/>
        </w:rPr>
        <w:t xml:space="preserve">电话：</w:t>
      </w:r>
      <w:r>
        <w:rPr>
          <w:rFonts w:hAnsi="宋体" w:cs="宋体"/>
          <w:color w:val="000000"/>
          <w:sz w:val="24"/>
          <w:szCs w:val="24"/>
          <w:lang w:bidi="ar"/>
        </w:rPr>
        <w:t xml:space="preserve">0519-80897906</w:t>
      </w:r>
      <w:r>
        <w:rPr>
          <w:rFonts w:hAnsi="宋体" w:cs="宋体"/>
          <w:sz w:val="24"/>
          <w:szCs w:val="24"/>
        </w:rPr>
        <w:t xml:space="preserve"> </w:t>
      </w:r>
      <w:r>
        <w:rPr>
          <w:rFonts w:hAnsi="宋体" w:cs="宋体"/>
          <w:sz w:val="24"/>
          <w:szCs w:val="24"/>
        </w:rPr>
      </w:r>
      <w:r/>
    </w:p>
    <w:p>
      <w:pPr>
        <w:pStyle w:val="1270"/>
        <w:ind w:firstLine="5880"/>
        <w:jc w:val="right"/>
        <w:spacing w:line="440" w:lineRule="exact"/>
        <w:rPr>
          <w:rFonts w:hint="eastAsia" w:ascii="宋体" w:hAnsi="宋体" w:cs="宋体"/>
          <w:sz w:val="24"/>
        </w:rPr>
      </w:pPr>
      <w:r>
        <w:rPr>
          <w:rFonts w:hint="eastAsia" w:ascii="宋体" w:hAnsi="宋体" w:cs="宋体"/>
          <w:sz w:val="24"/>
        </w:rPr>
      </w:r>
      <w:r/>
    </w:p>
    <w:p>
      <w:pPr>
        <w:pStyle w:val="1270"/>
        <w:jc w:val="center"/>
        <w:spacing w:line="440" w:lineRule="exact"/>
        <w:rPr>
          <w:rFonts w:hint="eastAsia" w:ascii="宋体" w:hAnsi="宋体" w:cs="宋体"/>
          <w:b/>
          <w:sz w:val="32"/>
          <w:szCs w:val="32"/>
        </w:rPr>
        <w:outlineLvl w:val="0"/>
      </w:pPr>
      <w:r>
        <w:rPr>
          <w:rFonts w:hint="eastAsia" w:ascii="宋体" w:hAnsi="宋体" w:cs="宋体"/>
          <w:sz w:val="24"/>
        </w:rPr>
        <w:br w:type="page" w:clear="all"/>
      </w:r>
      <w:bookmarkStart w:id="33" w:name="_Toc150774783"/>
      <w:r/>
      <w:bookmarkStart w:id="34" w:name="_Toc265228423"/>
      <w:r/>
      <w:bookmarkStart w:id="35" w:name="_Toc104818926"/>
      <w:r/>
      <w:bookmarkStart w:id="36" w:name="_Toc127161488"/>
      <w:r/>
      <w:bookmarkStart w:id="37" w:name="_Toc226965856"/>
      <w:r/>
      <w:bookmarkStart w:id="38" w:name="_Toc512937850"/>
      <w:r/>
      <w:bookmarkStart w:id="39" w:name="_Toc353825548"/>
      <w:r/>
      <w:bookmarkStart w:id="40" w:name="_Toc305158928"/>
      <w:r/>
      <w:bookmarkStart w:id="41" w:name="_Toc127151777"/>
      <w:r/>
      <w:bookmarkStart w:id="42" w:name="_Toc353873938"/>
      <w:r/>
      <w:bookmarkStart w:id="43" w:name="_Toc195842950"/>
      <w:r/>
      <w:bookmarkStart w:id="44" w:name="_Toc264969275"/>
      <w:r/>
      <w:bookmarkStart w:id="45" w:name="_Toc305158854"/>
      <w:r>
        <w:rPr>
          <w:rFonts w:hint="eastAsia" w:ascii="宋体" w:hAnsi="宋体" w:cs="宋体"/>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rFonts w:hint="eastAsia" w:ascii="宋体" w:hAnsi="宋体" w:cs="宋体"/>
          <w:b/>
          <w:sz w:val="32"/>
          <w:szCs w:val="32"/>
        </w:rPr>
      </w:r>
      <w:r/>
    </w:p>
    <w:p>
      <w:pPr>
        <w:pStyle w:val="1469"/>
        <w:spacing w:before="0" w:line="440" w:lineRule="exact"/>
        <w:tabs>
          <w:tab w:val="center" w:pos="4592" w:leader="none"/>
          <w:tab w:val="left" w:pos="7860" w:leader="none"/>
        </w:tabs>
        <w:rPr>
          <w:rFonts w:hint="eastAsia" w:ascii="宋体" w:hAnsi="宋体" w:eastAsia="宋体" w:cs="宋体"/>
          <w:b w:val="0"/>
          <w:sz w:val="28"/>
          <w:szCs w:val="28"/>
        </w:rPr>
      </w:pPr>
      <w:r/>
      <w:bookmarkStart w:id="46" w:name="_Toc142311021"/>
      <w:r/>
      <w:bookmarkStart w:id="47" w:name="_Toc226965709"/>
      <w:r/>
      <w:bookmarkStart w:id="48" w:name="_Toc164608633"/>
      <w:r/>
      <w:bookmarkStart w:id="49" w:name="_Toc127161433"/>
      <w:r/>
      <w:bookmarkStart w:id="50" w:name="_Toc226309763"/>
      <w:r/>
      <w:bookmarkStart w:id="51" w:name="_Toc164351613"/>
      <w:r/>
      <w:bookmarkStart w:id="52" w:name="_Toc150480757"/>
      <w:r/>
      <w:bookmarkStart w:id="53" w:name="_Toc151193907"/>
      <w:r/>
      <w:bookmarkStart w:id="54" w:name="_Toc151193617"/>
      <w:r/>
      <w:bookmarkStart w:id="55" w:name="_Toc150774619"/>
      <w:r/>
      <w:bookmarkStart w:id="56" w:name="_Toc149720812"/>
      <w:r/>
      <w:bookmarkStart w:id="57" w:name="_Toc151190146"/>
      <w:r/>
      <w:bookmarkStart w:id="58" w:name="_Toc151193833"/>
      <w:r/>
      <w:bookmarkStart w:id="59" w:name="_Toc151193689"/>
      <w:r/>
      <w:bookmarkStart w:id="60" w:name="_Toc520356144"/>
      <w:r/>
      <w:bookmarkStart w:id="61" w:name="_Toc127151720"/>
      <w:r/>
      <w:bookmarkStart w:id="62" w:name="_Toc150774724"/>
      <w:r/>
      <w:bookmarkStart w:id="63" w:name="_Toc151193761"/>
      <w:r/>
      <w:bookmarkStart w:id="64" w:name="_Toc226337215"/>
      <w:r/>
      <w:bookmarkStart w:id="65" w:name="_Toc195842884"/>
      <w:r/>
      <w:bookmarkStart w:id="66" w:name="_Toc226965792"/>
      <w:r/>
      <w:bookmarkStart w:id="67" w:name="_Toc164229214"/>
      <w:r/>
      <w:bookmarkStart w:id="68" w:name="_Toc150509270"/>
      <w:r/>
      <w:bookmarkStart w:id="69" w:name="_Toc164229360"/>
      <w:r/>
      <w:bookmarkStart w:id="70" w:name="_Toc164608788"/>
      <w:r/>
      <w:bookmarkStart w:id="71" w:name="_Toc127151519"/>
      <w:r>
        <w:rPr>
          <w:rFonts w:hint="eastAsia" w:ascii="宋体" w:hAnsi="宋体" w:eastAsia="宋体" w:cs="宋体"/>
          <w:sz w:val="28"/>
        </w:rPr>
        <w:t xml:space="preserve">供应商须知资料表</w:t>
      </w:r>
      <w:r>
        <w:rPr>
          <w:rFonts w:hint="eastAsia" w:ascii="宋体" w:hAnsi="宋体" w:eastAsia="宋体" w:cs="宋体"/>
          <w:b w:val="0"/>
          <w:sz w:val="28"/>
          <w:szCs w:val="28"/>
        </w:rPr>
      </w:r>
      <w:r/>
    </w:p>
    <w:p>
      <w:pPr>
        <w:pStyle w:val="1270"/>
        <w:spacing w:line="440" w:lineRule="exact"/>
        <w:rPr>
          <w:rFonts w:hint="eastAsia" w:ascii="宋体" w:hAnsi="宋体" w:cs="宋体"/>
          <w:sz w:val="24"/>
        </w:rPr>
      </w:pPr>
      <w:r>
        <w:rPr>
          <w:rFonts w:hint="eastAsia" w:ascii="宋体" w:hAnsi="宋体" w:cs="宋体"/>
          <w:sz w:val="24"/>
        </w:rPr>
        <w:t xml:space="preserve">本表是对供应商须知的具体补充和修改，如有矛盾，均以本资料表为准。</w:t>
      </w: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t xml:space="preserve">标记</w:t>
      </w:r>
      <w:r>
        <w:rPr>
          <w:rFonts w:hint="eastAsia" w:ascii="宋体" w:hAnsi="宋体" w:cs="宋体"/>
          <w:color w:val="000000"/>
          <w:sz w:val="24"/>
        </w:rPr>
        <w:t xml:space="preserve">“</w:t>
      </w:r>
      <w:r>
        <w:rPr>
          <w:rFonts w:hint="eastAsia" w:ascii="宋体" w:hAnsi="宋体" w:cs="宋体"/>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9"/>
        <w:gridCol w:w="1571"/>
        <w:gridCol w:w="6413"/>
      </w:tblGrid>
      <w:tr>
        <w:trPr/>
        <w:tc>
          <w:tcPr>
            <w:tcW w:w="494" w:type="dxa"/>
            <w:vAlign w:val="center"/>
            <w:textDirection w:val="lrTb"/>
            <w:noWrap w:val="false"/>
          </w:tcPr>
          <w:p>
            <w:pPr>
              <w:pStyle w:val="1270"/>
              <w:jc w:val="center"/>
              <w:spacing w:line="440" w:lineRule="exact"/>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886" w:type="dxa"/>
            <w:vAlign w:val="center"/>
            <w:textDirection w:val="lrTb"/>
            <w:noWrap w:val="false"/>
          </w:tcPr>
          <w:p>
            <w:pPr>
              <w:pStyle w:val="1270"/>
              <w:jc w:val="center"/>
              <w:spacing w:line="440" w:lineRule="exact"/>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3618" w:type="dxa"/>
            <w:vAlign w:val="center"/>
            <w:textDirection w:val="lrTb"/>
            <w:noWrap w:val="false"/>
          </w:tcPr>
          <w:p>
            <w:pPr>
              <w:pStyle w:val="1270"/>
              <w:jc w:val="center"/>
              <w:spacing w:line="440" w:lineRule="exact"/>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c>
          <w:tcPr>
            <w:tcW w:w="494" w:type="dxa"/>
            <w:vAlign w:val="center"/>
            <w:textDirection w:val="lrTb"/>
            <w:noWrap w:val="false"/>
          </w:tcPr>
          <w:p>
            <w:pPr>
              <w:pStyle w:val="1499"/>
              <w:jc w:val="center"/>
              <w:spacing w:line="440" w:lineRule="exact"/>
              <w:rPr>
                <w:rFonts w:hAnsi="宋体" w:cs="宋体"/>
                <w:sz w:val="24"/>
                <w:szCs w:val="24"/>
                <w:lang w:val="en-US" w:eastAsia="zh-CN"/>
              </w:rPr>
            </w:pPr>
            <w:r>
              <w:rPr>
                <w:rFonts w:hAnsi="宋体" w:cs="宋体"/>
                <w:sz w:val="24"/>
                <w:szCs w:val="24"/>
                <w:lang w:val="en-US" w:eastAsia="zh-CN"/>
              </w:rPr>
              <w:t xml:space="preserve">2.2</w:t>
            </w:r>
            <w:r>
              <w:rPr>
                <w:rFonts w:hAnsi="宋体" w:cs="宋体"/>
                <w:sz w:val="24"/>
                <w:szCs w:val="24"/>
                <w:lang w:val="en-US" w:eastAsia="zh-CN"/>
              </w:rPr>
            </w:r>
            <w:r/>
          </w:p>
        </w:tc>
        <w:tc>
          <w:tcPr>
            <w:tcW w:w="886"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c>
          <w:tcPr>
            <w:tcW w:w="3618" w:type="dxa"/>
            <w:vAlign w:val="center"/>
            <w:textDirection w:val="lrTb"/>
            <w:noWrap w:val="false"/>
          </w:tcPr>
          <w:p>
            <w:pPr>
              <w:pStyle w:val="1270"/>
              <w:jc w:val="left"/>
              <w:spacing w:line="440" w:lineRule="exac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☑服务</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□货物</w:t>
            </w:r>
            <w:r>
              <w:rPr>
                <w:rFonts w:hint="eastAsia" w:ascii="宋体" w:hAnsi="宋体" w:cs="宋体"/>
                <w:sz w:val="24"/>
              </w:rPr>
            </w:r>
            <w:r/>
          </w:p>
          <w:p>
            <w:pPr>
              <w:pStyle w:val="1270"/>
              <w:jc w:val="left"/>
              <w:spacing w:line="440" w:lineRule="exact"/>
              <w:rPr>
                <w:rFonts w:hint="eastAsia" w:ascii="宋体" w:hAnsi="宋体" w:cs="宋体"/>
                <w:sz w:val="24"/>
                <w:u w:val="single"/>
              </w:rPr>
            </w:pPr>
            <w:r>
              <w:rPr>
                <w:rFonts w:hint="eastAsia" w:ascii="宋体" w:hAnsi="宋体" w:cs="宋体"/>
                <w:sz w:val="24"/>
              </w:rPr>
              <w:t xml:space="preserve">□工程</w:t>
            </w:r>
            <w:r>
              <w:rPr>
                <w:rFonts w:hint="eastAsia" w:ascii="宋体" w:hAnsi="宋体" w:cs="宋体"/>
                <w:sz w:val="24"/>
                <w:u w:val="single"/>
              </w:rPr>
            </w:r>
            <w:r/>
          </w:p>
        </w:tc>
      </w:tr>
      <w:tr>
        <w:trPr/>
        <w:tc>
          <w:tcPr>
            <w:tcW w:w="494" w:type="dxa"/>
            <w:vAlign w:val="center"/>
            <w:textDirection w:val="lrTb"/>
            <w:noWrap w:val="false"/>
          </w:tcPr>
          <w:p>
            <w:pPr>
              <w:pStyle w:val="1499"/>
              <w:jc w:val="center"/>
              <w:spacing w:line="440" w:lineRule="exact"/>
              <w:rPr>
                <w:rFonts w:hAnsi="宋体" w:cs="宋体"/>
                <w:sz w:val="24"/>
                <w:szCs w:val="24"/>
                <w:lang w:val="en-US" w:eastAsia="zh-CN"/>
              </w:rPr>
            </w:pPr>
            <w:r>
              <w:rPr>
                <w:rFonts w:hAnsi="宋体" w:cs="宋体"/>
                <w:sz w:val="24"/>
                <w:szCs w:val="24"/>
                <w:lang w:val="en-US" w:eastAsia="zh-CN"/>
              </w:rPr>
              <w:t xml:space="preserve">2.3</w:t>
            </w:r>
            <w:r>
              <w:rPr>
                <w:rFonts w:hAnsi="宋体" w:cs="宋体"/>
                <w:sz w:val="24"/>
                <w:szCs w:val="24"/>
                <w:lang w:val="en-US" w:eastAsia="zh-CN"/>
              </w:rPr>
            </w:r>
            <w:r/>
          </w:p>
        </w:tc>
        <w:tc>
          <w:tcPr>
            <w:tcW w:w="886"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3618" w:type="dxa"/>
            <w:vAlign w:val="center"/>
            <w:textDirection w:val="lrTb"/>
            <w:noWrap w:val="false"/>
          </w:tcPr>
          <w:p>
            <w:pPr>
              <w:pStyle w:val="1270"/>
              <w:jc w:val="left"/>
              <w:spacing w:line="440" w:lineRule="exac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c>
          <w:tcPr>
            <w:tcW w:w="494" w:type="dxa"/>
            <w:vAlign w:val="center"/>
            <w:vMerge w:val="restart"/>
            <w:textDirection w:val="lrTb"/>
            <w:noWrap w:val="false"/>
          </w:tcPr>
          <w:p>
            <w:pPr>
              <w:pStyle w:val="1499"/>
              <w:jc w:val="center"/>
              <w:spacing w:line="440" w:lineRule="exact"/>
              <w:rPr>
                <w:rFonts w:hAnsi="宋体" w:cs="宋体"/>
                <w:sz w:val="24"/>
                <w:szCs w:val="24"/>
                <w:lang w:val="en-US" w:eastAsia="zh-CN"/>
              </w:rPr>
            </w:pPr>
            <w:r>
              <w:rPr>
                <w:rFonts w:hAnsi="宋体" w:cs="宋体"/>
                <w:sz w:val="24"/>
                <w:szCs w:val="24"/>
                <w:lang w:val="en-US" w:eastAsia="zh-CN"/>
              </w:rPr>
              <w:t xml:space="preserve">3.1</w:t>
            </w:r>
            <w:r>
              <w:rPr>
                <w:rFonts w:hAnsi="宋体" w:cs="宋体"/>
                <w:sz w:val="24"/>
                <w:szCs w:val="24"/>
                <w:lang w:val="en-US" w:eastAsia="zh-CN"/>
              </w:rPr>
            </w:r>
            <w:r/>
          </w:p>
        </w:tc>
        <w:tc>
          <w:tcPr>
            <w:tcW w:w="886" w:type="dxa"/>
            <w:vAlign w:val="center"/>
            <w:textDirection w:val="lrTb"/>
            <w:noWrap w:val="false"/>
          </w:tcPr>
          <w:p>
            <w:pPr>
              <w:pStyle w:val="1270"/>
              <w:jc w:val="center"/>
              <w:spacing w:line="440" w:lineRule="exact"/>
              <w:rPr>
                <w:rFonts w:hint="eastAsia" w:ascii="宋体" w:hAnsi="宋体" w:cs="宋体"/>
                <w:sz w:val="24"/>
                <w:highlight w:val="none"/>
              </w:rPr>
            </w:pPr>
            <w:r>
              <w:rPr>
                <w:rFonts w:hint="eastAsia" w:ascii="宋体" w:hAnsi="宋体" w:cs="宋体"/>
                <w:sz w:val="24"/>
                <w:highlight w:val="none"/>
              </w:rPr>
              <w:t xml:space="preserve">现场考察</w:t>
            </w:r>
            <w:r>
              <w:rPr>
                <w:rFonts w:hint="eastAsia" w:ascii="宋体" w:hAnsi="宋体" w:cs="宋体"/>
                <w:sz w:val="24"/>
                <w:highlight w:val="none"/>
              </w:rPr>
            </w:r>
            <w:r/>
          </w:p>
        </w:tc>
        <w:tc>
          <w:tcPr>
            <w:tcW w:w="3618" w:type="dxa"/>
            <w:vAlign w:val="center"/>
            <w:textDirection w:val="lrTb"/>
            <w:noWrap w:val="false"/>
          </w:tcPr>
          <w:p>
            <w:pPr>
              <w:pStyle w:val="1270"/>
              <w:jc w:val="left"/>
              <w:spacing w:line="440" w:lineRule="exact"/>
              <w:rPr>
                <w:rFonts w:hint="eastAsia" w:ascii="宋体" w:hAnsi="宋体" w:cs="宋体"/>
                <w:sz w:val="24"/>
                <w:highlight w:val="none"/>
              </w:rPr>
            </w:pPr>
            <w:r>
              <w:rPr>
                <w:rFonts w:hint="eastAsia" w:ascii="宋体" w:hAnsi="宋体" w:cs="宋体"/>
                <w:sz w:val="24"/>
                <w:highlight w:val="none"/>
              </w:rPr>
              <w:t xml:space="preserve">☑不组织</w:t>
            </w:r>
            <w:r>
              <w:rPr>
                <w:rFonts w:hint="eastAsia" w:ascii="宋体" w:hAnsi="宋体" w:cs="宋体"/>
                <w:sz w:val="24"/>
                <w:highlight w:val="none"/>
              </w:rPr>
            </w:r>
            <w:r/>
          </w:p>
          <w:p>
            <w:pPr>
              <w:pStyle w:val="1270"/>
              <w:jc w:val="left"/>
              <w:spacing w:line="440" w:lineRule="exact"/>
              <w:rPr>
                <w:rFonts w:hint="eastAsia" w:ascii="宋体" w:hAnsi="宋体" w:cs="宋体"/>
                <w:bCs/>
                <w:sz w:val="24"/>
                <w:highlight w:val="none"/>
              </w:rPr>
            </w:pPr>
            <w:r>
              <w:rPr>
                <w:rFonts w:hint="eastAsia" w:ascii="宋体" w:hAnsi="宋体" w:cs="宋体"/>
                <w:sz w:val="24"/>
                <w:highlight w:val="none"/>
              </w:rPr>
              <w:t xml:space="preserve">□组织，考察时间：/</w:t>
            </w:r>
            <w:r>
              <w:rPr>
                <w:rFonts w:hint="eastAsia" w:ascii="宋体" w:hAnsi="宋体" w:cs="宋体"/>
                <w:sz w:val="24"/>
                <w:highlight w:val="none"/>
                <w:lang w:bidi="ar"/>
              </w:rPr>
              <w:t xml:space="preserve">年</w:t>
            </w:r>
            <w:r>
              <w:rPr>
                <w:rFonts w:hint="eastAsia" w:ascii="宋体" w:hAnsi="宋体" w:cs="宋体"/>
                <w:sz w:val="24"/>
                <w:highlight w:val="none"/>
              </w:rPr>
              <w:t xml:space="preserve">/</w:t>
            </w:r>
            <w:r>
              <w:rPr>
                <w:rFonts w:hint="eastAsia" w:ascii="宋体" w:hAnsi="宋体" w:cs="宋体"/>
                <w:sz w:val="24"/>
                <w:highlight w:val="none"/>
                <w:lang w:bidi="ar"/>
              </w:rPr>
              <w:t xml:space="preserve">月</w:t>
            </w:r>
            <w:r>
              <w:rPr>
                <w:rFonts w:hint="eastAsia" w:ascii="宋体" w:hAnsi="宋体" w:cs="宋体"/>
                <w:sz w:val="24"/>
                <w:highlight w:val="none"/>
              </w:rPr>
              <w:t xml:space="preserve">/</w:t>
            </w:r>
            <w:r>
              <w:rPr>
                <w:rFonts w:hint="eastAsia" w:ascii="宋体" w:hAnsi="宋体" w:cs="宋体"/>
                <w:sz w:val="24"/>
                <w:highlight w:val="none"/>
                <w:lang w:bidi="ar"/>
              </w:rPr>
              <w:t xml:space="preserve">日</w:t>
            </w:r>
            <w:r>
              <w:rPr>
                <w:rFonts w:hint="eastAsia" w:ascii="宋体" w:hAnsi="宋体" w:cs="宋体"/>
                <w:sz w:val="24"/>
                <w:highlight w:val="none"/>
              </w:rPr>
              <w:t xml:space="preserve">/</w:t>
            </w:r>
            <w:r>
              <w:rPr>
                <w:rFonts w:hint="eastAsia" w:ascii="宋体" w:hAnsi="宋体" w:cs="宋体"/>
                <w:sz w:val="24"/>
                <w:highlight w:val="none"/>
                <w:lang w:bidi="ar"/>
              </w:rPr>
              <w:t xml:space="preserve">点</w:t>
            </w:r>
            <w:r>
              <w:rPr>
                <w:rFonts w:hint="eastAsia" w:ascii="宋体" w:hAnsi="宋体" w:cs="宋体"/>
                <w:sz w:val="24"/>
                <w:highlight w:val="none"/>
              </w:rPr>
              <w:t xml:space="preserve">/</w:t>
            </w:r>
            <w:r>
              <w:rPr>
                <w:rFonts w:hint="eastAsia" w:ascii="宋体" w:hAnsi="宋体" w:cs="宋体"/>
                <w:sz w:val="24"/>
                <w:highlight w:val="none"/>
                <w:lang w:bidi="ar"/>
              </w:rPr>
              <w:t xml:space="preserve">分</w:t>
            </w:r>
            <w:r>
              <w:rPr>
                <w:rFonts w:hint="eastAsia" w:ascii="宋体" w:hAnsi="宋体" w:cs="宋体"/>
                <w:bCs/>
                <w:sz w:val="24"/>
                <w:highlight w:val="none"/>
              </w:rPr>
            </w:r>
            <w:r/>
          </w:p>
          <w:p>
            <w:pPr>
              <w:pStyle w:val="1499"/>
              <w:spacing w:line="440" w:lineRule="exact"/>
              <w:rPr>
                <w:rFonts w:hAnsi="宋体" w:cs="宋体"/>
                <w:sz w:val="24"/>
                <w:szCs w:val="24"/>
                <w:highlight w:val="none"/>
                <w:lang w:val="en-US" w:eastAsia="zh-CN"/>
              </w:rPr>
            </w:pPr>
            <w:r>
              <w:rPr>
                <w:rFonts w:hAnsi="宋体" w:cs="宋体"/>
                <w:sz w:val="24"/>
                <w:szCs w:val="24"/>
                <w:highlight w:val="none"/>
                <w:lang w:val="en-US" w:eastAsia="zh-CN"/>
              </w:rPr>
              <w:t xml:space="preserve">考察地点：供应商应对项目现场进行踏勘，但费用由供应商自行承担。现场踏勘联系人：董献国；联系电话：0519-87888232。供应商在报价时应充分考虑现场实际情况，采购人不负担因供应商对项目现场情况考虑不周而产生的其他任何费用。</w:t>
            </w:r>
            <w:r>
              <w:rPr>
                <w:rFonts w:hAnsi="宋体" w:cs="宋体"/>
                <w:sz w:val="24"/>
                <w:szCs w:val="24"/>
                <w:highlight w:val="none"/>
                <w:lang w:val="en-US" w:eastAsia="zh-CN"/>
              </w:rPr>
            </w:r>
            <w:r/>
          </w:p>
        </w:tc>
      </w:tr>
      <w:tr>
        <w:trPr/>
        <w:tc>
          <w:tcPr>
            <w:tcW w:w="494" w:type="dxa"/>
            <w:vAlign w:val="center"/>
            <w:vMerge w:val="continue"/>
            <w:textDirection w:val="lrTb"/>
            <w:noWrap w:val="false"/>
          </w:tcPr>
          <w:p>
            <w:pPr>
              <w:pStyle w:val="1499"/>
              <w:jc w:val="center"/>
              <w:spacing w:line="440" w:lineRule="exact"/>
              <w:rPr>
                <w:rFonts w:hAnsi="宋体" w:cs="宋体"/>
                <w:sz w:val="24"/>
                <w:szCs w:val="24"/>
                <w:lang w:val="en-US" w:eastAsia="zh-CN"/>
              </w:rPr>
            </w:pPr>
            <w:r>
              <w:rPr>
                <w:rFonts w:hAnsi="宋体" w:cs="宋体"/>
                <w:sz w:val="24"/>
                <w:szCs w:val="24"/>
                <w:lang w:val="en-US" w:eastAsia="zh-CN"/>
              </w:rPr>
            </w:r>
            <w:r/>
          </w:p>
        </w:tc>
        <w:tc>
          <w:tcPr>
            <w:tcW w:w="886"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磋商前答疑会</w:t>
            </w:r>
            <w:r>
              <w:rPr>
                <w:rFonts w:hint="eastAsia" w:ascii="宋体" w:hAnsi="宋体" w:cs="宋体"/>
                <w:sz w:val="24"/>
              </w:rPr>
            </w:r>
            <w:r/>
          </w:p>
        </w:tc>
        <w:tc>
          <w:tcPr>
            <w:tcW w:w="3618" w:type="dxa"/>
            <w:vAlign w:val="center"/>
            <w:textDirection w:val="lrTb"/>
            <w:noWrap w:val="false"/>
          </w:tcPr>
          <w:p>
            <w:pPr>
              <w:pStyle w:val="1270"/>
              <w:jc w:val="left"/>
              <w:spacing w:line="440" w:lineRule="exac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lang w:bidi="ar"/>
              </w:rPr>
              <w:t xml:space="preserve">年</w:t>
            </w:r>
            <w:r>
              <w:rPr>
                <w:rFonts w:hint="eastAsia" w:ascii="宋体" w:hAnsi="宋体" w:cs="宋体"/>
                <w:sz w:val="24"/>
              </w:rPr>
              <w:t xml:space="preserve">/</w:t>
            </w:r>
            <w:r>
              <w:rPr>
                <w:rFonts w:hint="eastAsia" w:ascii="宋体" w:hAnsi="宋体" w:cs="宋体"/>
                <w:sz w:val="24"/>
                <w:lang w:bidi="ar"/>
              </w:rPr>
              <w:t xml:space="preserve">月</w:t>
            </w:r>
            <w:r>
              <w:rPr>
                <w:rFonts w:hint="eastAsia" w:ascii="宋体" w:hAnsi="宋体" w:cs="宋体"/>
                <w:sz w:val="24"/>
              </w:rPr>
              <w:t xml:space="preserve">/</w:t>
            </w:r>
            <w:r>
              <w:rPr>
                <w:rFonts w:hint="eastAsia" w:ascii="宋体" w:hAnsi="宋体" w:cs="宋体"/>
                <w:sz w:val="24"/>
                <w:lang w:bidi="ar"/>
              </w:rPr>
              <w:t xml:space="preserve">日</w:t>
            </w:r>
            <w:r>
              <w:rPr>
                <w:rFonts w:hint="eastAsia" w:ascii="宋体" w:hAnsi="宋体" w:cs="宋体"/>
                <w:sz w:val="24"/>
              </w:rPr>
              <w:t xml:space="preserve">/</w:t>
            </w:r>
            <w:r>
              <w:rPr>
                <w:rFonts w:hint="eastAsia" w:ascii="宋体" w:hAnsi="宋体" w:cs="宋体"/>
                <w:sz w:val="24"/>
                <w:lang w:bidi="ar"/>
              </w:rPr>
              <w:t xml:space="preserve">点</w:t>
            </w:r>
            <w:r>
              <w:rPr>
                <w:rFonts w:hint="eastAsia" w:ascii="宋体" w:hAnsi="宋体" w:cs="宋体"/>
                <w:sz w:val="24"/>
              </w:rPr>
              <w:t xml:space="preserve">/</w:t>
            </w:r>
            <w:r>
              <w:rPr>
                <w:rFonts w:hint="eastAsia" w:ascii="宋体" w:hAnsi="宋体" w:cs="宋体"/>
                <w:sz w:val="24"/>
                <w:lang w:bidi="ar"/>
              </w:rPr>
              <w:t xml:space="preserve">分</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rPr>
            </w:r>
            <w:r/>
          </w:p>
        </w:tc>
      </w:tr>
      <w:tr>
        <w:trPr/>
        <w:tc>
          <w:tcPr>
            <w:tcW w:w="494" w:type="dxa"/>
            <w:vAlign w:val="center"/>
            <w:textDirection w:val="lrTb"/>
            <w:noWrap w:val="false"/>
          </w:tcPr>
          <w:p>
            <w:pPr>
              <w:pStyle w:val="1499"/>
              <w:jc w:val="center"/>
              <w:spacing w:line="440" w:lineRule="exact"/>
              <w:rPr>
                <w:rFonts w:hAnsi="宋体" w:cs="宋体"/>
                <w:sz w:val="24"/>
                <w:szCs w:val="24"/>
                <w:lang w:val="en-US" w:eastAsia="zh-CN"/>
              </w:rPr>
            </w:pPr>
            <w:r>
              <w:rPr>
                <w:rFonts w:hAnsi="宋体" w:cs="宋体"/>
                <w:sz w:val="24"/>
                <w:szCs w:val="24"/>
                <w:lang w:val="en-US" w:eastAsia="zh-CN"/>
              </w:rPr>
              <w:t xml:space="preserve">4.2.5</w:t>
            </w:r>
            <w:r>
              <w:rPr>
                <w:rFonts w:hAnsi="宋体" w:cs="宋体"/>
                <w:sz w:val="24"/>
                <w:szCs w:val="24"/>
                <w:lang w:val="en-US" w:eastAsia="zh-CN"/>
              </w:rPr>
            </w:r>
            <w:r/>
          </w:p>
        </w:tc>
        <w:tc>
          <w:tcPr>
            <w:tcW w:w="886"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3618" w:type="dxa"/>
            <w:vAlign w:val="center"/>
            <w:textDirection w:val="lrTb"/>
            <w:noWrap w:val="false"/>
          </w:tcPr>
          <w:p>
            <w:pPr>
              <w:pStyle w:val="1270"/>
              <w:jc w:val="left"/>
              <w:spacing w:line="440" w:lineRule="exact"/>
              <w:rPr>
                <w:rFonts w:hint="eastAsia" w:ascii="宋体" w:hAnsi="宋体" w:cs="宋体"/>
                <w:sz w:val="24"/>
              </w:rPr>
            </w:pPr>
            <w:r>
              <w:rPr>
                <w:rFonts w:hint="eastAsia" w:ascii="宋体" w:hAnsi="宋体" w:cs="宋体"/>
                <w:sz w:val="24"/>
              </w:rPr>
              <w:t xml:space="preserve">本项目采购标的对应的中小企业划分标准所属行业：其他未列明行业。</w:t>
            </w:r>
            <w:r>
              <w:rPr>
                <w:rFonts w:hint="eastAsia" w:ascii="宋体" w:hAnsi="宋体" w:cs="宋体"/>
                <w:sz w:val="24"/>
              </w:rPr>
            </w:r>
            <w:r/>
          </w:p>
        </w:tc>
      </w:tr>
      <w:tr>
        <w:trPr/>
        <w:tc>
          <w:tcPr>
            <w:tcW w:w="494" w:type="dxa"/>
            <w:vAlign w:val="center"/>
            <w:textDirection w:val="lrTb"/>
            <w:noWrap w:val="false"/>
          </w:tcPr>
          <w:p>
            <w:pPr>
              <w:pStyle w:val="1499"/>
              <w:jc w:val="center"/>
              <w:spacing w:line="440" w:lineRule="exact"/>
              <w:rPr>
                <w:rFonts w:hAnsi="宋体" w:cs="宋体"/>
                <w:sz w:val="24"/>
                <w:szCs w:val="24"/>
                <w:lang w:val="en-US" w:eastAsia="zh-CN"/>
              </w:rPr>
            </w:pPr>
            <w:r>
              <w:rPr>
                <w:rFonts w:hAnsi="宋体" w:cs="宋体"/>
                <w:sz w:val="24"/>
                <w:szCs w:val="24"/>
                <w:lang w:val="en-US" w:eastAsia="zh-CN"/>
              </w:rPr>
              <w:t xml:space="preserve">10.2</w:t>
            </w:r>
            <w:r>
              <w:rPr>
                <w:rFonts w:hAnsi="宋体" w:cs="宋体"/>
                <w:sz w:val="24"/>
                <w:szCs w:val="24"/>
                <w:lang w:val="en-US" w:eastAsia="zh-CN"/>
              </w:rPr>
            </w:r>
            <w:r/>
          </w:p>
        </w:tc>
        <w:tc>
          <w:tcPr>
            <w:tcW w:w="886"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报价</w:t>
            </w:r>
            <w:r>
              <w:rPr>
                <w:rFonts w:hint="eastAsia" w:ascii="宋体" w:hAnsi="宋体" w:cs="宋体"/>
                <w:sz w:val="24"/>
              </w:rPr>
            </w:r>
            <w:r/>
          </w:p>
        </w:tc>
        <w:tc>
          <w:tcPr>
            <w:tcW w:w="3618" w:type="dxa"/>
            <w:vAlign w:val="center"/>
            <w:textDirection w:val="lrTb"/>
            <w:noWrap w:val="false"/>
          </w:tcPr>
          <w:p>
            <w:pPr>
              <w:pStyle w:val="1270"/>
              <w:jc w:val="left"/>
              <w:spacing w:line="440" w:lineRule="exact"/>
              <w:rPr>
                <w:rFonts w:hint="eastAsia" w:ascii="宋体" w:hAnsi="宋体" w:cs="宋体"/>
                <w:sz w:val="24"/>
              </w:rPr>
            </w:pPr>
            <w:r>
              <w:rPr>
                <w:rFonts w:hint="eastAsia" w:ascii="宋体" w:hAnsi="宋体" w:cs="宋体"/>
                <w:sz w:val="24"/>
              </w:rPr>
              <w:t xml:space="preserve">报价的特殊规定：</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□无</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☑有，具体情形：</w:t>
            </w:r>
            <w:r>
              <w:rPr>
                <w:rFonts w:ascii="宋体" w:hAnsi="宋体"/>
                <w:color w:val="000000"/>
                <w:sz w:val="24"/>
              </w:rPr>
              <w:t xml:space="preserve">本项目采用二轮报价，</w:t>
            </w:r>
            <w:r>
              <w:rPr>
                <w:rFonts w:hint="eastAsia" w:ascii="宋体" w:hAnsi="宋体"/>
                <w:color w:val="000000"/>
                <w:sz w:val="24"/>
              </w:rPr>
              <w:t xml:space="preserve">电子</w:t>
            </w:r>
            <w:r>
              <w:rPr>
                <w:rFonts w:ascii="宋体" w:hAnsi="宋体"/>
                <w:color w:val="000000"/>
                <w:sz w:val="24"/>
              </w:rPr>
              <w:t xml:space="preserve">响应文件中</w:t>
            </w:r>
            <w:r>
              <w:rPr>
                <w:rFonts w:hint="eastAsia" w:ascii="宋体" w:hAnsi="宋体"/>
                <w:color w:val="000000"/>
                <w:sz w:val="24"/>
              </w:rPr>
              <w:t xml:space="preserve">的</w:t>
            </w:r>
            <w:r>
              <w:rPr>
                <w:rFonts w:ascii="宋体" w:hAnsi="宋体"/>
                <w:color w:val="000000"/>
                <w:sz w:val="24"/>
              </w:rPr>
              <w:t xml:space="preserve">书面报价为首轮报价，第二轮报价为最</w:t>
            </w:r>
            <w:r>
              <w:rPr>
                <w:rFonts w:hint="eastAsia" w:ascii="宋体" w:hAnsi="宋体"/>
                <w:color w:val="000000"/>
                <w:sz w:val="24"/>
              </w:rPr>
              <w:t xml:space="preserve">后</w:t>
            </w:r>
            <w:r>
              <w:rPr>
                <w:rFonts w:ascii="宋体" w:hAnsi="宋体"/>
                <w:color w:val="000000"/>
                <w:sz w:val="24"/>
              </w:rPr>
              <w:t xml:space="preserve">报价</w:t>
            </w:r>
            <w:r>
              <w:rPr>
                <w:rFonts w:hint="eastAsia" w:ascii="宋体" w:hAnsi="宋体"/>
                <w:color w:val="000000"/>
                <w:sz w:val="24"/>
              </w:rPr>
              <w:t xml:space="preserve">(通过系统在线报价)。最后</w:t>
            </w:r>
            <w:r>
              <w:rPr>
                <w:rFonts w:ascii="宋体" w:hAnsi="宋体"/>
                <w:color w:val="000000"/>
                <w:sz w:val="24"/>
              </w:rPr>
              <w:t xml:space="preserve">报价不得超过</w:t>
            </w:r>
            <w:r>
              <w:rPr>
                <w:rFonts w:hint="eastAsia" w:ascii="宋体" w:hAnsi="宋体"/>
                <w:color w:val="000000"/>
                <w:sz w:val="24"/>
              </w:rPr>
              <w:t xml:space="preserve">预算、最高限价及</w:t>
            </w:r>
            <w:r>
              <w:rPr>
                <w:rFonts w:ascii="宋体" w:hAnsi="宋体"/>
                <w:color w:val="000000"/>
                <w:sz w:val="24"/>
              </w:rPr>
              <w:t xml:space="preserve">首轮报价，否则作无效报价文件处理</w:t>
            </w:r>
            <w:r>
              <w:rPr>
                <w:rFonts w:hint="eastAsia" w:ascii="宋体" w:hAnsi="宋体"/>
                <w:color w:val="000000"/>
                <w:sz w:val="24"/>
              </w:rPr>
              <w:t xml:space="preserve">。</w:t>
            </w:r>
            <w:r>
              <w:rPr>
                <w:rFonts w:hint="eastAsia" w:ascii="宋体" w:hAnsi="宋体" w:cs="宋体"/>
                <w:sz w:val="24"/>
              </w:rPr>
            </w:r>
            <w:r/>
          </w:p>
        </w:tc>
      </w:tr>
      <w:tr>
        <w:trPr/>
        <w:tc>
          <w:tcPr>
            <w:tcW w:w="494" w:type="dxa"/>
            <w:vAlign w:val="center"/>
            <w:textDirection w:val="lrTb"/>
            <w:noWrap w:val="false"/>
          </w:tcPr>
          <w:p>
            <w:pPr>
              <w:pStyle w:val="1499"/>
              <w:jc w:val="center"/>
              <w:spacing w:line="440" w:lineRule="exact"/>
              <w:rPr>
                <w:rFonts w:hAnsi="宋体" w:cs="宋体"/>
                <w:sz w:val="24"/>
                <w:szCs w:val="24"/>
                <w:lang w:val="en-US" w:eastAsia="zh-CN"/>
              </w:rPr>
            </w:pPr>
            <w:r>
              <w:rPr>
                <w:rFonts w:hAnsi="宋体" w:cs="宋体"/>
                <w:sz w:val="24"/>
                <w:szCs w:val="24"/>
                <w:lang w:val="en-US" w:eastAsia="zh-CN"/>
              </w:rPr>
              <w:t xml:space="preserve">11.1</w:t>
            </w:r>
            <w:r>
              <w:rPr>
                <w:rFonts w:hAnsi="宋体" w:cs="宋体"/>
                <w:sz w:val="24"/>
                <w:szCs w:val="24"/>
                <w:lang w:val="en-US" w:eastAsia="zh-CN"/>
              </w:rPr>
            </w:r>
            <w:r/>
          </w:p>
        </w:tc>
        <w:tc>
          <w:tcPr>
            <w:tcW w:w="886"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磋商保证金</w:t>
            </w:r>
            <w:r>
              <w:rPr>
                <w:rFonts w:hint="eastAsia" w:ascii="宋体" w:hAnsi="宋体" w:cs="宋体"/>
                <w:sz w:val="24"/>
              </w:rPr>
            </w:r>
            <w:r/>
          </w:p>
        </w:tc>
        <w:tc>
          <w:tcPr>
            <w:tcW w:w="3618" w:type="dxa"/>
            <w:vAlign w:val="center"/>
            <w:textDirection w:val="lrTb"/>
            <w:noWrap w:val="false"/>
          </w:tcPr>
          <w:p>
            <w:pPr>
              <w:pStyle w:val="1270"/>
              <w:jc w:val="left"/>
              <w:spacing w:line="440" w:lineRule="exact"/>
              <w:rPr>
                <w:rFonts w:hint="eastAsia" w:ascii="宋体" w:hAnsi="宋体" w:cs="宋体"/>
                <w:sz w:val="24"/>
              </w:rPr>
            </w:pPr>
            <w:r>
              <w:rPr>
                <w:rFonts w:hint="eastAsia" w:ascii="宋体" w:hAnsi="宋体" w:cs="宋体"/>
                <w:sz w:val="24"/>
              </w:rPr>
              <w:t xml:space="preserve">本项目免收投标保证金</w:t>
            </w:r>
            <w:r>
              <w:rPr>
                <w:rFonts w:hint="eastAsia" w:ascii="宋体" w:hAnsi="宋体" w:cs="宋体"/>
                <w:sz w:val="24"/>
              </w:rPr>
            </w:r>
            <w:r/>
          </w:p>
        </w:tc>
      </w:tr>
      <w:tr>
        <w:trPr/>
        <w:tc>
          <w:tcPr>
            <w:tcW w:w="494" w:type="dxa"/>
            <w:vAlign w:val="center"/>
            <w:textDirection w:val="lrTb"/>
            <w:noWrap w:val="false"/>
          </w:tcPr>
          <w:p>
            <w:pPr>
              <w:pStyle w:val="1499"/>
              <w:jc w:val="center"/>
              <w:spacing w:line="440" w:lineRule="exact"/>
              <w:rPr>
                <w:rFonts w:hAnsi="宋体" w:cs="宋体"/>
                <w:sz w:val="24"/>
                <w:szCs w:val="24"/>
                <w:lang w:val="en-US" w:eastAsia="zh-CN"/>
              </w:rPr>
            </w:pPr>
            <w:r>
              <w:rPr>
                <w:rFonts w:hAnsi="宋体" w:cs="宋体"/>
                <w:sz w:val="24"/>
                <w:szCs w:val="24"/>
                <w:lang w:val="en-US" w:eastAsia="zh-CN"/>
              </w:rPr>
              <w:t xml:space="preserve">12.1</w:t>
            </w:r>
            <w:r>
              <w:rPr>
                <w:rFonts w:hAnsi="宋体" w:cs="宋体"/>
                <w:sz w:val="24"/>
                <w:szCs w:val="24"/>
                <w:lang w:val="en-US" w:eastAsia="zh-CN"/>
              </w:rPr>
            </w:r>
            <w:r/>
          </w:p>
        </w:tc>
        <w:tc>
          <w:tcPr>
            <w:tcW w:w="886"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响应有效期</w:t>
            </w:r>
            <w:r>
              <w:rPr>
                <w:rFonts w:hint="eastAsia" w:ascii="宋体" w:hAnsi="宋体" w:cs="宋体"/>
                <w:sz w:val="24"/>
              </w:rPr>
            </w:r>
            <w:r/>
          </w:p>
        </w:tc>
        <w:tc>
          <w:tcPr>
            <w:tcW w:w="3618" w:type="dxa"/>
            <w:vAlign w:val="center"/>
            <w:textDirection w:val="lrTb"/>
            <w:noWrap w:val="false"/>
          </w:tcPr>
          <w:p>
            <w:pPr>
              <w:pStyle w:val="1270"/>
              <w:jc w:val="left"/>
              <w:spacing w:line="440" w:lineRule="exact"/>
              <w:rPr>
                <w:rFonts w:hint="eastAsia" w:ascii="宋体" w:hAnsi="宋体" w:cs="宋体"/>
                <w:sz w:val="24"/>
              </w:rPr>
            </w:pPr>
            <w:r>
              <w:rPr>
                <w:rFonts w:hint="eastAsia" w:ascii="宋体" w:hAnsi="宋体" w:cs="宋体"/>
                <w:sz w:val="24"/>
              </w:rPr>
              <w:t xml:space="preserve">自提交响应文件的截止之日起算120日历天。</w:t>
            </w:r>
            <w:r>
              <w:rPr>
                <w:rFonts w:hint="eastAsia" w:ascii="宋体" w:hAnsi="宋体" w:cs="宋体"/>
                <w:sz w:val="24"/>
              </w:rPr>
            </w:r>
            <w:r/>
          </w:p>
        </w:tc>
      </w:tr>
      <w:tr>
        <w:trPr/>
        <w:tc>
          <w:tcPr>
            <w:tcW w:w="494" w:type="dxa"/>
            <w:vAlign w:val="center"/>
            <w:textDirection w:val="lrTb"/>
            <w:noWrap w:val="false"/>
          </w:tcPr>
          <w:p>
            <w:pPr>
              <w:pStyle w:val="1499"/>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t xml:space="preserve">23.5</w:t>
            </w:r>
            <w:r>
              <w:rPr>
                <w:rFonts w:hAnsi="宋体" w:cs="宋体"/>
                <w:color w:val="000000"/>
                <w:sz w:val="24"/>
                <w:szCs w:val="24"/>
                <w:lang w:val="en-US" w:eastAsia="zh-CN"/>
              </w:rPr>
            </w:r>
            <w:r/>
          </w:p>
        </w:tc>
        <w:tc>
          <w:tcPr>
            <w:tcW w:w="886"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分包</w:t>
            </w:r>
            <w:r>
              <w:rPr>
                <w:rFonts w:hint="eastAsia" w:ascii="宋体" w:hAnsi="宋体" w:cs="宋体"/>
                <w:color w:val="000000"/>
                <w:sz w:val="24"/>
              </w:rPr>
            </w:r>
            <w:r/>
          </w:p>
        </w:tc>
        <w:tc>
          <w:tcPr>
            <w:tcW w:w="3618" w:type="dxa"/>
            <w:vAlign w:val="center"/>
            <w:textDirection w:val="lrTb"/>
            <w:noWrap w:val="false"/>
          </w:tcPr>
          <w:p>
            <w:pPr>
              <w:pStyle w:val="1270"/>
              <w:jc w:val="left"/>
              <w:spacing w:line="440" w:lineRule="exact"/>
              <w:rPr>
                <w:rFonts w:hint="eastAsia" w:ascii="宋体" w:hAnsi="宋体" w:cs="宋体"/>
                <w:color w:val="000000"/>
                <w:sz w:val="24"/>
              </w:rPr>
            </w:pPr>
            <w:r>
              <w:rPr>
                <w:rFonts w:hint="eastAsia" w:ascii="宋体" w:hAnsi="宋体" w:cs="宋体"/>
                <w:color w:val="000000"/>
                <w:sz w:val="24"/>
              </w:rPr>
              <w:t xml:space="preserve">本项目是否允许分包： </w:t>
            </w:r>
            <w:r>
              <w:rPr>
                <w:rFonts w:hint="eastAsia" w:ascii="宋体" w:hAnsi="宋体" w:cs="宋体"/>
                <w:color w:val="000000"/>
                <w:sz w:val="24"/>
              </w:rPr>
            </w:r>
            <w:r/>
          </w:p>
          <w:p>
            <w:pPr>
              <w:pStyle w:val="1270"/>
              <w:jc w:val="left"/>
              <w:spacing w:line="440" w:lineRule="exac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270"/>
              <w:jc w:val="left"/>
              <w:spacing w:line="440" w:lineRule="exac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270"/>
              <w:jc w:val="left"/>
              <w:spacing w:line="440" w:lineRule="exac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rPr>
            </w:r>
            <w:r/>
          </w:p>
          <w:p>
            <w:pPr>
              <w:pStyle w:val="1270"/>
              <w:jc w:val="left"/>
              <w:spacing w:line="440" w:lineRule="exac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rPr>
            </w:r>
            <w:r/>
          </w:p>
          <w:p>
            <w:pPr>
              <w:pStyle w:val="1270"/>
              <w:jc w:val="left"/>
              <w:spacing w:line="440" w:lineRule="exac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rPr>
            </w:r>
            <w:r/>
          </w:p>
        </w:tc>
      </w:tr>
      <w:tr>
        <w:trPr/>
        <w:tc>
          <w:tcPr>
            <w:tcW w:w="494" w:type="dxa"/>
            <w:vAlign w:val="center"/>
            <w:textDirection w:val="lrTb"/>
            <w:noWrap w:val="false"/>
          </w:tcPr>
          <w:p>
            <w:pPr>
              <w:pStyle w:val="1499"/>
              <w:jc w:val="center"/>
              <w:spacing w:line="440" w:lineRule="exact"/>
              <w:rPr>
                <w:rFonts w:hAnsi="宋体" w:cs="宋体"/>
                <w:sz w:val="24"/>
                <w:szCs w:val="24"/>
                <w:lang w:val="en-US" w:eastAsia="zh-CN"/>
              </w:rPr>
            </w:pPr>
            <w:r>
              <w:rPr>
                <w:rFonts w:hAnsi="宋体" w:cs="宋体"/>
                <w:sz w:val="24"/>
                <w:szCs w:val="24"/>
                <w:lang w:val="en-US" w:eastAsia="zh-CN"/>
              </w:rPr>
              <w:t xml:space="preserve">24.1.1</w:t>
            </w:r>
            <w:r>
              <w:rPr>
                <w:rFonts w:hAnsi="宋体" w:cs="宋体"/>
                <w:sz w:val="24"/>
                <w:szCs w:val="24"/>
                <w:lang w:val="en-US" w:eastAsia="zh-CN"/>
              </w:rPr>
            </w:r>
            <w:r/>
          </w:p>
        </w:tc>
        <w:tc>
          <w:tcPr>
            <w:tcW w:w="886"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3618" w:type="dxa"/>
            <w:vAlign w:val="center"/>
            <w:textDirection w:val="lrTb"/>
            <w:noWrap w:val="false"/>
          </w:tcPr>
          <w:p>
            <w:pPr>
              <w:pStyle w:val="1270"/>
              <w:jc w:val="left"/>
              <w:spacing w:line="440" w:lineRule="exact"/>
              <w:rPr>
                <w:rFonts w:hint="eastAsia" w:ascii="宋体" w:hAnsi="宋体" w:cs="宋体"/>
                <w:sz w:val="24"/>
              </w:rPr>
            </w:pPr>
            <w:r>
              <w:rPr>
                <w:rFonts w:hint="eastAsia" w:ascii="宋体" w:hAnsi="宋体" w:cs="宋体"/>
                <w:sz w:val="24"/>
              </w:rPr>
              <w:t xml:space="preserve">询问送达形式：书面或电子邮件（jslcztb@163.com）。</w:t>
            </w:r>
            <w:r>
              <w:rPr>
                <w:rFonts w:hint="eastAsia" w:ascii="宋体" w:hAnsi="宋体" w:cs="宋体"/>
                <w:sz w:val="24"/>
              </w:rPr>
            </w:r>
            <w:r/>
          </w:p>
        </w:tc>
      </w:tr>
      <w:tr>
        <w:trPr/>
        <w:tc>
          <w:tcPr>
            <w:tcW w:w="494" w:type="dxa"/>
            <w:vAlign w:val="center"/>
            <w:textDirection w:val="lrTb"/>
            <w:noWrap w:val="false"/>
          </w:tcPr>
          <w:p>
            <w:pPr>
              <w:pStyle w:val="1499"/>
              <w:jc w:val="center"/>
              <w:spacing w:line="440" w:lineRule="exact"/>
              <w:rPr>
                <w:rFonts w:hAnsi="宋体" w:cs="宋体"/>
                <w:sz w:val="24"/>
                <w:szCs w:val="24"/>
                <w:lang w:val="en-US" w:eastAsia="zh-CN"/>
              </w:rPr>
            </w:pPr>
            <w:r>
              <w:rPr>
                <w:rFonts w:hAnsi="宋体" w:cs="宋体"/>
                <w:sz w:val="24"/>
                <w:szCs w:val="24"/>
                <w:lang w:val="en-US" w:eastAsia="zh-CN"/>
              </w:rPr>
              <w:t xml:space="preserve">24.3</w:t>
            </w:r>
            <w:r>
              <w:rPr>
                <w:rFonts w:hAnsi="宋体" w:cs="宋体"/>
                <w:sz w:val="24"/>
                <w:szCs w:val="24"/>
                <w:lang w:val="en-US" w:eastAsia="zh-CN"/>
              </w:rPr>
            </w:r>
            <w:r/>
          </w:p>
        </w:tc>
        <w:tc>
          <w:tcPr>
            <w:tcW w:w="886"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3618" w:type="dxa"/>
            <w:vAlign w:val="center"/>
            <w:textDirection w:val="lrTb"/>
            <w:noWrap w:val="false"/>
          </w:tcPr>
          <w:p>
            <w:pPr>
              <w:pStyle w:val="1270"/>
              <w:jc w:val="left"/>
              <w:spacing w:line="440" w:lineRule="exact"/>
              <w:rPr>
                <w:rFonts w:hint="eastAsia" w:ascii="宋体" w:hAnsi="宋体" w:cs="宋体"/>
                <w:sz w:val="24"/>
              </w:rPr>
            </w:pPr>
            <w:r>
              <w:rPr>
                <w:rFonts w:hint="eastAsia" w:ascii="宋体" w:hAnsi="宋体" w:cs="宋体"/>
                <w:sz w:val="24"/>
              </w:rPr>
              <w:t xml:space="preserve">接收询问和质疑的联系方式</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联系部门：江苏龙城招投标有限公司综合办；</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联系电话：0519-80897906；</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通讯地址：溧阳市嘉源广场3号楼2号门6楼。</w:t>
            </w:r>
            <w:r>
              <w:rPr>
                <w:rFonts w:hint="eastAsia" w:ascii="宋体" w:hAnsi="宋体" w:cs="宋体"/>
                <w:sz w:val="24"/>
              </w:rPr>
            </w:r>
            <w:r/>
          </w:p>
        </w:tc>
      </w:tr>
      <w:tr>
        <w:trPr/>
        <w:tc>
          <w:tcPr>
            <w:tcW w:w="494" w:type="dxa"/>
            <w:vAlign w:val="center"/>
            <w:textDirection w:val="lrTb"/>
            <w:noWrap w:val="false"/>
          </w:tcPr>
          <w:p>
            <w:pPr>
              <w:pStyle w:val="1499"/>
              <w:jc w:val="center"/>
              <w:spacing w:line="440" w:lineRule="exact"/>
              <w:rPr>
                <w:rFonts w:hAnsi="宋体" w:cs="宋体"/>
                <w:sz w:val="24"/>
                <w:szCs w:val="24"/>
                <w:lang w:val="en-US" w:eastAsia="zh-CN"/>
              </w:rPr>
            </w:pPr>
            <w:r>
              <w:rPr>
                <w:rFonts w:hAnsi="宋体" w:cs="宋体"/>
                <w:sz w:val="24"/>
                <w:szCs w:val="24"/>
                <w:lang w:val="en-US" w:eastAsia="zh-CN"/>
              </w:rPr>
              <w:t xml:space="preserve">25</w:t>
            </w:r>
            <w:r>
              <w:rPr>
                <w:rFonts w:hAnsi="宋体" w:cs="宋体"/>
                <w:sz w:val="24"/>
                <w:szCs w:val="24"/>
                <w:lang w:val="en-US" w:eastAsia="zh-CN"/>
              </w:rPr>
            </w:r>
            <w:r/>
          </w:p>
        </w:tc>
        <w:tc>
          <w:tcPr>
            <w:tcW w:w="886"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3618" w:type="dxa"/>
            <w:vAlign w:val="center"/>
            <w:textDirection w:val="lrTb"/>
            <w:noWrap w:val="false"/>
          </w:tcPr>
          <w:p>
            <w:pPr>
              <w:pStyle w:val="1270"/>
              <w:jc w:val="left"/>
              <w:spacing w:line="440" w:lineRule="exact"/>
              <w:rPr>
                <w:rFonts w:hint="eastAsia" w:ascii="宋体" w:hAnsi="宋体" w:cs="宋体"/>
                <w:sz w:val="24"/>
              </w:rPr>
            </w:pPr>
            <w:r>
              <w:rPr>
                <w:rFonts w:hint="eastAsia" w:ascii="宋体" w:hAnsi="宋体" w:cs="宋体"/>
                <w:sz w:val="24"/>
              </w:rPr>
              <w:t xml:space="preserve">收费对象：</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□采购人</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☑中标人</w:t>
            </w: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t xml:space="preserve">收费标准：1.根据关于印发《江苏省政府采购代理服务收费指导意见》的通知苏政采协【2024】20号文件精神，成交服务费按照江苏省政府采购代理常规服务收费指导价收取；</w:t>
            </w: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t xml:space="preserve">2.采购代理服务费收费按差额定率累进法计算；</w:t>
            </w: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t xml:space="preserve">3.招标代理服务费收费按上述计算方法不足人民币5000元的，按人民币5000元收取；</w:t>
            </w: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color w:val="000000"/>
                <w:sz w:val="24"/>
                <w:lang w:bidi="ar"/>
              </w:rPr>
              <w:t xml:space="preserve">4.本次采购过程中产生的一切费用由中标方支付。</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缴纳时间：中标单位应在成交通知书发出后五个工作日内（合同签订前）将成交服务费付至采购代理机构帐户。</w:t>
            </w:r>
            <w:r>
              <w:rPr>
                <w:rFonts w:hint="eastAsia" w:ascii="宋体" w:hAnsi="宋体" w:cs="宋体"/>
                <w:sz w:val="24"/>
              </w:rPr>
            </w:r>
            <w:r/>
          </w:p>
        </w:tc>
      </w:tr>
    </w:tbl>
    <w:p>
      <w:pPr>
        <w:pStyle w:val="1270"/>
        <w:jc w:val="center"/>
        <w:spacing w:line="440" w:lineRule="exact"/>
        <w:rPr>
          <w:rFonts w:hint="eastAsia" w:ascii="宋体" w:hAnsi="宋体" w:cs="宋体"/>
          <w:b/>
          <w:sz w:val="28"/>
          <w:szCs w:val="28"/>
        </w:rPr>
      </w:pPr>
      <w:r>
        <w:rPr>
          <w:rFonts w:hint="eastAsia" w:ascii="宋体" w:hAnsi="宋体" w:cs="宋体"/>
          <w:b/>
          <w:sz w:val="28"/>
          <w:szCs w:val="28"/>
        </w:rPr>
      </w:r>
      <w:r/>
    </w:p>
    <w:p>
      <w:pPr>
        <w:pStyle w:val="1270"/>
        <w:jc w:val="center"/>
        <w:spacing w:line="440" w:lineRule="exact"/>
        <w:rPr>
          <w:rFonts w:hint="eastAsia" w:ascii="宋体" w:hAnsi="宋体" w:cs="宋体"/>
          <w:b/>
          <w:sz w:val="28"/>
          <w:szCs w:val="28"/>
        </w:rPr>
      </w:pPr>
      <w:r>
        <w:rPr>
          <w:rFonts w:hint="eastAsia" w:ascii="宋体" w:hAnsi="宋体" w:cs="宋体"/>
          <w:b/>
          <w:sz w:val="28"/>
          <w:szCs w:val="28"/>
        </w:rPr>
      </w:r>
      <w:r/>
    </w:p>
    <w:p>
      <w:pPr>
        <w:pStyle w:val="1270"/>
        <w:jc w:val="center"/>
        <w:spacing w:line="440" w:lineRule="exact"/>
        <w:rPr>
          <w:rFonts w:hint="eastAsia" w:ascii="宋体" w:hAnsi="宋体" w:cs="宋体"/>
          <w:sz w:val="28"/>
        </w:rPr>
      </w:pPr>
      <w:r>
        <w:rPr>
          <w:rFonts w:hint="eastAsia" w:ascii="宋体" w:hAnsi="宋体" w:cs="宋体"/>
          <w:b/>
          <w:sz w:val="28"/>
          <w:szCs w:val="28"/>
        </w:rPr>
        <w:t xml:space="preserve">供应商须知</w:t>
      </w:r>
      <w:bookmarkStart w:id="72" w:name="_Toc151193906"/>
      <w:r/>
      <w:bookmarkStart w:id="73" w:name="_Toc151193760"/>
      <w:r/>
      <w:bookmarkStart w:id="74" w:name="_Toc264969208"/>
      <w:r/>
      <w:bookmarkStart w:id="75" w:name="_Toc150480756"/>
      <w:r/>
      <w:bookmarkStart w:id="76" w:name="_Toc150509269"/>
      <w:r/>
      <w:bookmarkStart w:id="77" w:name="_Toc226965791"/>
      <w:r/>
      <w:bookmarkStart w:id="78" w:name="_Toc195842883"/>
      <w:r/>
      <w:bookmarkStart w:id="79" w:name="_Toc265228356"/>
      <w:r/>
      <w:bookmarkStart w:id="80" w:name="_Toc150774723"/>
      <w:r/>
      <w:bookmarkStart w:id="81" w:name="_Toc150774618"/>
      <w:r/>
      <w:bookmarkStart w:id="82" w:name="_Toc226309762"/>
      <w:r/>
      <w:bookmarkStart w:id="83" w:name="_Toc305158860"/>
      <w:r/>
      <w:bookmarkStart w:id="84" w:name="_Toc305158786"/>
      <w:r/>
      <w:bookmarkStart w:id="85" w:name="_Toc151193832"/>
      <w:r/>
      <w:bookmarkStart w:id="86" w:name="_Toc142311020"/>
      <w:r/>
      <w:bookmarkStart w:id="87" w:name="_Toc226337214"/>
      <w:r/>
      <w:bookmarkStart w:id="88" w:name="_Toc151193616"/>
      <w:r/>
      <w:bookmarkStart w:id="89" w:name="_Toc226965708"/>
      <w:r/>
      <w:bookmarkStart w:id="90" w:name="_Toc127151518"/>
      <w:r/>
      <w:bookmarkStart w:id="91" w:name="_Toc151193688"/>
      <w:r/>
      <w:bookmarkStart w:id="92" w:name="_Toc520356143"/>
      <w:r/>
      <w:bookmarkStart w:id="93" w:name="_Toc151190145"/>
      <w:r>
        <w:rPr>
          <w:rFonts w:hint="eastAsia" w:ascii="宋体" w:hAnsi="宋体" w:cs="宋体"/>
          <w:sz w:val="28"/>
        </w:rPr>
      </w:r>
      <w:r/>
    </w:p>
    <w:p>
      <w:pPr>
        <w:pStyle w:val="1469"/>
        <w:spacing w:before="0" w:line="440" w:lineRule="exact"/>
        <w:tabs>
          <w:tab w:val="center" w:pos="4592" w:leader="none"/>
          <w:tab w:val="left" w:pos="7860" w:leader="none"/>
        </w:tabs>
        <w:rPr>
          <w:rFonts w:hint="eastAsia" w:ascii="宋体" w:hAnsi="宋体" w:eastAsia="宋体" w:cs="宋体"/>
          <w:sz w:val="28"/>
        </w:rPr>
      </w:pPr>
      <w:r>
        <w:rPr>
          <w:rFonts w:hint="eastAsia" w:ascii="宋体" w:hAnsi="宋体" w:eastAsia="宋体" w:cs="宋体"/>
          <w:sz w:val="28"/>
        </w:rPr>
        <w:t xml:space="preserve">一   说明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r>
      <w:r/>
    </w:p>
    <w:p>
      <w:pPr>
        <w:pStyle w:val="1270"/>
        <w:spacing w:line="440" w:lineRule="exact"/>
        <w:tabs>
          <w:tab w:val="left" w:pos="360" w:leader="none"/>
        </w:tabs>
        <w:rPr>
          <w:rFonts w:hint="eastAsia" w:ascii="宋体" w:hAnsi="宋体" w:cs="宋体"/>
          <w:sz w:val="24"/>
        </w:rPr>
        <w:outlineLvl w:val="1"/>
      </w:pPr>
      <w:r/>
      <w:bookmarkStart w:id="94" w:name="_Toc305158861"/>
      <w:r/>
      <w:bookmarkStart w:id="95" w:name="_Toc264969209"/>
      <w:r/>
      <w:bookmarkStart w:id="96" w:name="_Toc265228357"/>
      <w:r/>
      <w:bookmarkStart w:id="97" w:name="_Toc305158787"/>
      <w:r>
        <w:rPr>
          <w:rFonts w:hint="eastAsia" w:ascii="宋体" w:hAnsi="宋体" w:cs="宋体"/>
          <w:sz w:val="24"/>
        </w:rPr>
        <w:t xml:space="preserve">1、采购人、采购代理机构、供应商</w:t>
      </w:r>
      <w:bookmarkEnd w:id="94"/>
      <w:r/>
      <w:bookmarkEnd w:id="95"/>
      <w:r/>
      <w:bookmarkEnd w:id="96"/>
      <w:r/>
      <w:bookmarkEnd w:id="97"/>
      <w:r>
        <w:rPr>
          <w:rFonts w:hint="eastAsia" w:ascii="宋体" w:hAnsi="宋体" w:cs="宋体"/>
          <w:sz w:val="24"/>
        </w:rPr>
        <w:t xml:space="preserve">、联合体</w:t>
      </w:r>
      <w:r>
        <w:rPr>
          <w:rFonts w:hint="eastAsia" w:ascii="宋体" w:hAnsi="宋体" w:cs="宋体"/>
          <w:sz w:val="24"/>
        </w:rPr>
      </w:r>
      <w:r/>
    </w:p>
    <w:p>
      <w:pPr>
        <w:pStyle w:val="1270"/>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1.1.采购人、采购代理机构：指依法进行政府采购的国家机关、事业单位、团体组织，及其委托的采购代理机构。本项目采购人、采购代理机构见第一章《采购邀请》。</w:t>
      </w:r>
      <w:r>
        <w:rPr>
          <w:rFonts w:hint="eastAsia" w:ascii="宋体" w:hAnsi="宋体" w:cs="宋体"/>
          <w:sz w:val="24"/>
        </w:rPr>
      </w:r>
      <w:r/>
    </w:p>
    <w:p>
      <w:pPr>
        <w:pStyle w:val="1270"/>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1.2.供应商（也称“申请人”）：指向采购人提供货物、工程或者服务的法人、其他组织或者自然人。</w:t>
      </w:r>
      <w:r>
        <w:rPr>
          <w:rFonts w:hint="eastAsia" w:ascii="宋体" w:hAnsi="宋体" w:cs="宋体"/>
          <w:sz w:val="24"/>
        </w:rPr>
      </w:r>
      <w:r/>
    </w:p>
    <w:p>
      <w:pPr>
        <w:pStyle w:val="1270"/>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1.3.联合体：指两个以上的自然人、法人或者其他组织组成一个联合体，以一个供应商的身份共同参加政府采购。</w:t>
      </w:r>
      <w:r>
        <w:rPr>
          <w:rFonts w:hint="eastAsia" w:ascii="宋体" w:hAnsi="宋体" w:cs="宋体"/>
          <w:sz w:val="24"/>
        </w:rPr>
      </w:r>
      <w:r/>
    </w:p>
    <w:p>
      <w:pPr>
        <w:pStyle w:val="1270"/>
        <w:spacing w:line="440" w:lineRule="exact"/>
        <w:tabs>
          <w:tab w:val="left" w:pos="360" w:leader="none"/>
        </w:tabs>
        <w:rPr>
          <w:rFonts w:hint="eastAsia" w:ascii="宋体" w:hAnsi="宋体" w:cs="宋体"/>
          <w:sz w:val="24"/>
        </w:rPr>
        <w:outlineLvl w:val="1"/>
      </w:pPr>
      <w:r/>
      <w:bookmarkStart w:id="98" w:name="_Toc151193834"/>
      <w:r/>
      <w:bookmarkStart w:id="99" w:name="_Toc305158788"/>
      <w:r/>
      <w:bookmarkStart w:id="100" w:name="_Toc127151520"/>
      <w:r/>
      <w:bookmarkStart w:id="101" w:name="_Toc264969210"/>
      <w:r/>
      <w:bookmarkStart w:id="102" w:name="_Toc150509271"/>
      <w:r/>
      <w:bookmarkStart w:id="103" w:name="_Toc164229361"/>
      <w:r/>
      <w:bookmarkStart w:id="104" w:name="_Toc151193618"/>
      <w:r/>
      <w:bookmarkStart w:id="105" w:name="_Toc142311022"/>
      <w:r/>
      <w:bookmarkStart w:id="106" w:name="_Toc149720813"/>
      <w:r/>
      <w:bookmarkStart w:id="107" w:name="_Toc305158862"/>
      <w:r/>
      <w:bookmarkStart w:id="108" w:name="_Toc265228358"/>
      <w:r/>
      <w:bookmarkStart w:id="109" w:name="_Toc164351614"/>
      <w:r/>
      <w:bookmarkStart w:id="110" w:name="_Toc226337216"/>
      <w:r/>
      <w:bookmarkStart w:id="111" w:name="_Toc226965793"/>
      <w:r/>
      <w:bookmarkStart w:id="112" w:name="_Toc226965710"/>
      <w:r/>
      <w:bookmarkStart w:id="113" w:name="_Toc150774725"/>
      <w:r/>
      <w:bookmarkStart w:id="114" w:name="_Toc127151721"/>
      <w:r/>
      <w:bookmarkStart w:id="115" w:name="_Toc226309764"/>
      <w:r/>
      <w:bookmarkStart w:id="116" w:name="_Toc127161434"/>
      <w:r/>
      <w:bookmarkStart w:id="117" w:name="_Toc164608634"/>
      <w:r/>
      <w:bookmarkStart w:id="118" w:name="_Toc164229215"/>
      <w:r/>
      <w:bookmarkStart w:id="119" w:name="_Toc150480758"/>
      <w:r/>
      <w:bookmarkStart w:id="120" w:name="_Toc151193762"/>
      <w:r/>
      <w:bookmarkStart w:id="121" w:name="_Toc164608789"/>
      <w:r/>
      <w:bookmarkStart w:id="122" w:name="_Toc195842885"/>
      <w:r/>
      <w:bookmarkStart w:id="123" w:name="_Toc151193690"/>
      <w:r/>
      <w:bookmarkStart w:id="124" w:name="_Toc151190147"/>
      <w:r/>
      <w:bookmarkStart w:id="125" w:name="_Toc150774620"/>
      <w:r/>
      <w:bookmarkStart w:id="126" w:name="_Toc151193908"/>
      <w:r>
        <w:rPr>
          <w:rFonts w:hint="eastAsia" w:ascii="宋体" w:hAnsi="宋体" w:cs="宋体"/>
          <w:sz w:val="24"/>
        </w:rPr>
        <w:t xml:space="preserve">2、资金来源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sz w:val="24"/>
        </w:rPr>
        <w:t xml:space="preserve">、项目属性、科研仪器设备采购</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2.1.资金来源为财政性资金和/或本项目采购中无法与财政性资金分割的非财政性资金。</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2.2.项目属性见《供应商须知资料表》。</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2.3.是否属于科研仪器设备采购见《供应商须知资料表》。</w:t>
      </w:r>
      <w:r>
        <w:rPr>
          <w:rFonts w:hint="eastAsia" w:ascii="宋体" w:hAnsi="宋体" w:cs="宋体"/>
          <w:sz w:val="24"/>
        </w:rPr>
      </w:r>
      <w:r/>
    </w:p>
    <w:p>
      <w:pPr>
        <w:pStyle w:val="1270"/>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3、现场考察、磋商前答疑会</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8"/>
        </w:rPr>
      </w:pPr>
      <w:r>
        <w:rPr>
          <w:rFonts w:hint="eastAsia" w:ascii="宋体" w:hAnsi="宋体" w:cs="宋体"/>
          <w:sz w:val="24"/>
        </w:rPr>
        <w:t xml:space="preserve">3.1.若《供应商须知资料表》中规定了组织现场考察、召开磋商前答疑会，则供应商应按要求在规定的时间和地点参加。</w:t>
      </w:r>
      <w:bookmarkStart w:id="127" w:name="_Toc265228360"/>
      <w:r/>
      <w:bookmarkStart w:id="128" w:name="_Toc150480760"/>
      <w:r/>
      <w:bookmarkStart w:id="129" w:name="_Toc226965712"/>
      <w:r/>
      <w:bookmarkStart w:id="130" w:name="_Toc151193910"/>
      <w:r/>
      <w:bookmarkStart w:id="131" w:name="_Toc226965795"/>
      <w:r/>
      <w:bookmarkStart w:id="132" w:name="_Toc150509273"/>
      <w:r/>
      <w:bookmarkStart w:id="133" w:name="_Toc305158790"/>
      <w:r/>
      <w:bookmarkStart w:id="134" w:name="_Toc151193836"/>
      <w:r/>
      <w:bookmarkStart w:id="135" w:name="_Toc142311024"/>
      <w:r/>
      <w:bookmarkStart w:id="136" w:name="_Toc520356146"/>
      <w:r/>
      <w:bookmarkStart w:id="137" w:name="_Toc264969212"/>
      <w:r/>
      <w:bookmarkStart w:id="138" w:name="_Toc150774727"/>
      <w:r/>
      <w:bookmarkStart w:id="139" w:name="_Toc127151522"/>
      <w:r/>
      <w:bookmarkStart w:id="140" w:name="_Toc151193692"/>
      <w:r/>
      <w:bookmarkStart w:id="141" w:name="_Toc150774622"/>
      <w:r/>
      <w:bookmarkStart w:id="142" w:name="_Toc226309766"/>
      <w:r/>
      <w:bookmarkStart w:id="143" w:name="_Toc151190149"/>
      <w:r/>
      <w:bookmarkStart w:id="144" w:name="_Toc305158864"/>
      <w:r/>
      <w:bookmarkStart w:id="145" w:name="_Toc195842887"/>
      <w:r/>
      <w:bookmarkStart w:id="146" w:name="_Toc151193620"/>
      <w:r/>
      <w:bookmarkStart w:id="147" w:name="_Toc151193764"/>
      <w:r/>
      <w:bookmarkStart w:id="148" w:name="_Toc226337218"/>
      <w:r>
        <w:rPr>
          <w:rFonts w:hint="eastAsia" w:ascii="宋体" w:hAnsi="宋体" w:cs="宋体"/>
          <w:sz w:val="28"/>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3.2.由于未参加现场考察或磋商前答疑会而导致对项目实际情况不了解，影响响应文件编制、报价准确性、综合因素响应不全面等问题的，由供应商自行承担不利评审后果。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sz w:val="24"/>
        </w:rPr>
      </w:r>
      <w:r/>
    </w:p>
    <w:p>
      <w:pPr>
        <w:pStyle w:val="1270"/>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4、政府采购政策（包括但不限于下列具体政策要求）</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4.1.进口产品</w:t>
      </w:r>
      <w:r>
        <w:rPr>
          <w:rFonts w:hint="eastAsia" w:ascii="宋体" w:hAnsi="宋体" w:cs="宋体"/>
          <w:sz w:val="24"/>
        </w:rPr>
      </w:r>
      <w:r/>
    </w:p>
    <w:p>
      <w:pPr>
        <w:pStyle w:val="1270"/>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4.2.中小企业、监狱企业及残疾人福利性单位</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4.2.1.中小企业定义：</w:t>
      </w:r>
      <w:r>
        <w:rPr>
          <w:rFonts w:hint="eastAsia" w:ascii="宋体" w:hAnsi="宋体" w:cs="宋体"/>
          <w:sz w:val="24"/>
        </w:rPr>
      </w:r>
      <w:r/>
    </w:p>
    <w:p>
      <w:pPr>
        <w:pStyle w:val="1557"/>
        <w:numPr>
          <w:ilvl w:val="0"/>
          <w:numId w:val="8"/>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557"/>
        <w:numPr>
          <w:ilvl w:val="0"/>
          <w:numId w:val="8"/>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557"/>
        <w:numPr>
          <w:ilvl w:val="0"/>
          <w:numId w:val="8"/>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557"/>
        <w:numPr>
          <w:ilvl w:val="0"/>
          <w:numId w:val="8"/>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557"/>
        <w:numPr>
          <w:ilvl w:val="1"/>
          <w:numId w:val="8"/>
        </w:numPr>
        <w:spacing w:line="440" w:lineRule="exact"/>
        <w:tabs>
          <w:tab w:val="left" w:pos="1589"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557"/>
        <w:numPr>
          <w:ilvl w:val="1"/>
          <w:numId w:val="8"/>
        </w:numPr>
        <w:spacing w:line="440" w:lineRule="exact"/>
        <w:tabs>
          <w:tab w:val="left" w:pos="1589"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557"/>
        <w:numPr>
          <w:ilvl w:val="2"/>
          <w:numId w:val="8"/>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270"/>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4.2.1.1.中小企业是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270"/>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4.2.1.2.供应商提供的货物、工程或者服务符合下列情形的，享受中小企业扶持政策：</w:t>
      </w:r>
      <w:r>
        <w:rPr>
          <w:rFonts w:hint="eastAsia" w:ascii="宋体" w:hAnsi="宋体" w:cs="宋体"/>
          <w:color w:val="000000"/>
          <w:sz w:val="24"/>
        </w:rPr>
      </w:r>
      <w:r/>
    </w:p>
    <w:p>
      <w:pPr>
        <w:pStyle w:val="1270"/>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270"/>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270"/>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270"/>
        <w:ind w:firstLine="960"/>
        <w:spacing w:line="440" w:lineRule="exact"/>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4.2.1.3.在货物采购项目中，供应商提供的货物既有中小企业制造货物，也有大型企业制造货物的，不享受中小企业扶持政策。</w:t>
      </w:r>
      <w:r>
        <w:rPr>
          <w:rFonts w:hint="eastAsia" w:ascii="宋体" w:hAnsi="宋体" w:cs="宋体"/>
          <w:sz w:val="24"/>
        </w:rPr>
      </w:r>
      <w:r/>
    </w:p>
    <w:p>
      <w:pPr>
        <w:pStyle w:val="1270"/>
        <w:ind w:firstLine="960"/>
        <w:spacing w:line="440" w:lineRule="exact"/>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color w:val="000000"/>
          <w:sz w:val="24"/>
        </w:rPr>
        <w:t xml:space="preserve">4.2.1.4.以联合体形式参加政府采购活动，联合体各方均为中小企业的，联合体视同中小企业。其中，联合体各方均为小微企业的，联合体视同小微企业。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4.2.3.残疾人福利单位定义：享受政府采购支持政策的残疾人福利性单位应当同时满足以下条件：</w:t>
      </w:r>
      <w:r>
        <w:rPr>
          <w:rFonts w:hint="eastAsia" w:ascii="宋体" w:hAnsi="宋体" w:cs="宋体"/>
          <w:sz w:val="24"/>
        </w:rPr>
      </w:r>
      <w:r/>
    </w:p>
    <w:p>
      <w:pPr>
        <w:pStyle w:val="1557"/>
        <w:numPr>
          <w:ilvl w:val="2"/>
          <w:numId w:val="8"/>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557"/>
        <w:numPr>
          <w:ilvl w:val="2"/>
          <w:numId w:val="8"/>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270"/>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4.2.3.1.安置的残疾人占本单位在职职工人数的比例不低于25%（含25%），并且安置的残疾人人数不少于10 人（含10 人）；</w:t>
      </w:r>
      <w:r>
        <w:rPr>
          <w:rFonts w:hint="eastAsia" w:ascii="宋体" w:hAnsi="宋体" w:cs="宋体"/>
          <w:color w:val="000000"/>
          <w:sz w:val="24"/>
        </w:rPr>
      </w:r>
      <w:r/>
    </w:p>
    <w:p>
      <w:pPr>
        <w:pStyle w:val="1270"/>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4.2.3.2.依法与安置的每位残疾人签订了一年以上（含一年）的劳动合同或服务协议；</w:t>
      </w:r>
      <w:r>
        <w:rPr>
          <w:rFonts w:hint="eastAsia" w:ascii="宋体" w:hAnsi="宋体" w:cs="宋体"/>
          <w:color w:val="000000"/>
          <w:sz w:val="24"/>
        </w:rPr>
      </w:r>
      <w:r/>
    </w:p>
    <w:p>
      <w:pPr>
        <w:pStyle w:val="1270"/>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4.2.3.3.为安置的每位残疾人按月足额缴纳了基本养老保险、基本医疗保险、失业保险、工伤保险和生育保险等社会保险费；</w:t>
      </w:r>
      <w:r>
        <w:rPr>
          <w:rFonts w:hint="eastAsia" w:ascii="宋体" w:hAnsi="宋体" w:cs="宋体"/>
          <w:color w:val="000000"/>
          <w:sz w:val="24"/>
        </w:rPr>
      </w:r>
      <w:r/>
    </w:p>
    <w:p>
      <w:pPr>
        <w:pStyle w:val="1270"/>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4.2.3.4.通过银行等金融机构向安置的每位残疾人，按月支付了不低于单位所在区县适用的经省级人民政府批准的月最低工资标准的工资；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270"/>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270"/>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4.2.4.本项目是否专门面向中小企业预留采购份额见第一章《采购邀请》。</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4.2.5.采购标的对应的中小企业划分标准所属行业见《供应商须知资料表》。</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4.2.6.小微企业价格评审优惠的政策调整：见第三章《评审方法和评审标准》。</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4.3.政府采购节能产品、环境标志产品</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4.3.3.如本项目采购产品属于实施政府强制采购品目清单范围的节能产品，则供应商所报产品必须获得国家确定的认证机构出具的、处于有效期之内的节能产品认证证书，否则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4.3.4.非政府强制采购的节能产品或环境标志产品，依据品目清单和认证证书实施政府优先采购。优先采购的具体规定见第三章《评审方法和评审标准》（如涉及）。</w:t>
      </w:r>
      <w:r>
        <w:rPr>
          <w:rFonts w:hint="eastAsia" w:ascii="宋体" w:hAnsi="宋体" w:cs="宋体"/>
          <w:sz w:val="24"/>
        </w:rPr>
      </w:r>
      <w:r/>
    </w:p>
    <w:p>
      <w:pPr>
        <w:pStyle w:val="1270"/>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4.4.支持乡村产业振兴管理</w:t>
      </w:r>
      <w:r>
        <w:rPr>
          <w:rFonts w:hint="eastAsia" w:ascii="宋体" w:hAnsi="宋体" w:cs="宋体"/>
          <w:sz w:val="24"/>
        </w:rPr>
      </w:r>
      <w:r/>
    </w:p>
    <w:p>
      <w:pPr>
        <w:pStyle w:val="1270"/>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4.4.1.为落实《关于运用政府采购政策支持乡村产业振兴的通知》（财库〔2021〕19号）有关要求，做好支持脱贫攻坚工作，本项目采购活动中对于支持乡村振兴管理的相关要求见第四章《采购需求》（如涉及）。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4.5.正版软件</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4.6.信息安全产品</w:t>
      </w:r>
      <w:r>
        <w:rPr>
          <w:rFonts w:hint="eastAsia" w:ascii="宋体" w:hAnsi="宋体" w:cs="宋体"/>
          <w:sz w:val="24"/>
        </w:rPr>
      </w:r>
      <w:r/>
    </w:p>
    <w:p>
      <w:pPr>
        <w:pStyle w:val="1270"/>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4.6.1.所投产品属于《关于调整信息安全产品强制性认证实施要求的公告》（2009 年第33 号）范围的，采购经国家认证的信息安全产品，否则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4.7.政府采购创新产品政策</w:t>
      </w:r>
      <w:r>
        <w:rPr>
          <w:rFonts w:hint="eastAsia" w:ascii="宋体" w:hAnsi="宋体" w:cs="宋体"/>
          <w:sz w:val="24"/>
        </w:rPr>
      </w:r>
      <w:r/>
    </w:p>
    <w:p>
      <w:pPr>
        <w:pStyle w:val="1270"/>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1270"/>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5、响应费用</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8"/>
        </w:rPr>
      </w:pPr>
      <w:r>
        <w:rPr>
          <w:rFonts w:hint="eastAsia" w:ascii="宋体" w:hAnsi="宋体" w:cs="宋体"/>
          <w:sz w:val="24"/>
        </w:rPr>
        <w:t xml:space="preserve">5.1.供应商应自行承担所有与准备和参加磋商有关的费用，无论磋商的结果如何，采购人或采购代理机构在任何情况下均无承担这些费用的义务和责任。</w:t>
      </w:r>
      <w:bookmarkStart w:id="149" w:name="_1.8_计量单位"/>
      <w:r/>
      <w:bookmarkEnd w:id="149"/>
      <w:r>
        <w:rPr>
          <w:rFonts w:hint="eastAsia" w:ascii="宋体" w:hAnsi="宋体" w:cs="宋体"/>
          <w:sz w:val="28"/>
        </w:rPr>
      </w:r>
      <w:r/>
    </w:p>
    <w:p>
      <w:pPr>
        <w:pStyle w:val="1469"/>
        <w:spacing w:before="0" w:line="440" w:lineRule="exact"/>
        <w:rPr>
          <w:rFonts w:hint="eastAsia" w:ascii="宋体" w:hAnsi="宋体" w:eastAsia="宋体" w:cs="宋体"/>
          <w:sz w:val="28"/>
        </w:rPr>
      </w:pPr>
      <w:r>
        <w:rPr>
          <w:rFonts w:hint="eastAsia" w:ascii="宋体" w:hAnsi="宋体" w:eastAsia="宋体" w:cs="宋体"/>
          <w:sz w:val="28"/>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eastAsia="宋体" w:cs="宋体"/>
          <w:sz w:val="28"/>
        </w:rPr>
      </w:r>
      <w:r/>
    </w:p>
    <w:p>
      <w:pPr>
        <w:pStyle w:val="1270"/>
        <w:spacing w:line="440" w:lineRule="exact"/>
        <w:tabs>
          <w:tab w:val="left" w:pos="360" w:leader="none"/>
        </w:tabs>
        <w:rPr>
          <w:rFonts w:hint="eastAsia" w:ascii="宋体" w:hAnsi="宋体" w:cs="宋体"/>
          <w:sz w:val="24"/>
        </w:rPr>
        <w:outlineLvl w:val="1"/>
      </w:pPr>
      <w:r/>
      <w:bookmarkStart w:id="150" w:name="_Toc127151523"/>
      <w:r/>
      <w:bookmarkStart w:id="151" w:name="_Toc226337219"/>
      <w:r/>
      <w:bookmarkStart w:id="152" w:name="_Toc150774728"/>
      <w:r/>
      <w:bookmarkStart w:id="153" w:name="_Toc151193693"/>
      <w:r/>
      <w:bookmarkStart w:id="154" w:name="_Toc151190150"/>
      <w:r/>
      <w:bookmarkStart w:id="155" w:name="_Toc164608792"/>
      <w:r/>
      <w:bookmarkStart w:id="156" w:name="_Toc151193837"/>
      <w:r/>
      <w:bookmarkStart w:id="157" w:name="_Toc150480761"/>
      <w:r/>
      <w:bookmarkStart w:id="158" w:name="_Toc226309767"/>
      <w:r/>
      <w:bookmarkStart w:id="159" w:name="_Toc305158865"/>
      <w:r/>
      <w:bookmarkStart w:id="160" w:name="_Toc195842888"/>
      <w:r/>
      <w:bookmarkStart w:id="161" w:name="_Toc151193621"/>
      <w:r/>
      <w:bookmarkStart w:id="162" w:name="_Toc150509274"/>
      <w:r/>
      <w:bookmarkStart w:id="163" w:name="_Toc151193911"/>
      <w:r/>
      <w:bookmarkStart w:id="164" w:name="_Toc164351617"/>
      <w:r/>
      <w:bookmarkStart w:id="165" w:name="_Toc226965796"/>
      <w:r/>
      <w:bookmarkStart w:id="166" w:name="_Toc127151724"/>
      <w:r/>
      <w:bookmarkStart w:id="167" w:name="_Toc226965713"/>
      <w:r/>
      <w:bookmarkStart w:id="168" w:name="_Toc265228361"/>
      <w:r/>
      <w:bookmarkStart w:id="169" w:name="_Toc164608637"/>
      <w:r/>
      <w:bookmarkStart w:id="170" w:name="_Toc305158791"/>
      <w:r/>
      <w:bookmarkStart w:id="171" w:name="_Toc142311025"/>
      <w:r/>
      <w:bookmarkStart w:id="172" w:name="_Toc149720816"/>
      <w:r/>
      <w:bookmarkStart w:id="173" w:name="_Toc151193765"/>
      <w:r/>
      <w:bookmarkStart w:id="174" w:name="_Toc164229218"/>
      <w:r/>
      <w:bookmarkStart w:id="175" w:name="_Toc127161437"/>
      <w:r/>
      <w:bookmarkStart w:id="176" w:name="_Toc150774623"/>
      <w:r/>
      <w:bookmarkStart w:id="177" w:name="_Toc164229364"/>
      <w:r/>
      <w:bookmarkStart w:id="178" w:name="_Toc520356147"/>
      <w:r/>
      <w:bookmarkStart w:id="179" w:name="_Toc264969213"/>
      <w:r>
        <w:rPr>
          <w:rFonts w:hint="eastAsia" w:ascii="宋体" w:hAnsi="宋体" w:cs="宋体"/>
          <w:sz w:val="24"/>
        </w:rPr>
        <w:t xml:space="preserve">6、竞争性磋商文件构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sz w:val="24"/>
        </w:rPr>
        <w:t xml:space="preserve">成</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6.1.竞争性磋商文件包括以下部分：</w:t>
      </w:r>
      <w:r>
        <w:rPr>
          <w:rFonts w:hint="eastAsia" w:ascii="宋体" w:hAnsi="宋体" w:cs="宋体"/>
          <w:sz w:val="24"/>
        </w:rPr>
      </w:r>
      <w:r/>
    </w:p>
    <w:p>
      <w:pPr>
        <w:pStyle w:val="1270"/>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第一章  采购邀请</w:t>
      </w:r>
      <w:r>
        <w:rPr>
          <w:rFonts w:hint="eastAsia" w:ascii="宋体" w:hAnsi="宋体" w:cs="宋体"/>
          <w:sz w:val="24"/>
        </w:rPr>
      </w:r>
      <w:r/>
    </w:p>
    <w:p>
      <w:pPr>
        <w:pStyle w:val="1270"/>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第二章  供应商须知</w:t>
      </w:r>
      <w:r>
        <w:rPr>
          <w:rFonts w:hint="eastAsia" w:ascii="宋体" w:hAnsi="宋体" w:cs="宋体"/>
          <w:sz w:val="24"/>
        </w:rPr>
      </w:r>
      <w:r/>
    </w:p>
    <w:p>
      <w:pPr>
        <w:pStyle w:val="1270"/>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第三章  评审程序、评审方法和评审标准</w:t>
      </w:r>
      <w:r>
        <w:rPr>
          <w:rFonts w:hint="eastAsia" w:ascii="宋体" w:hAnsi="宋体" w:cs="宋体"/>
          <w:sz w:val="24"/>
        </w:rPr>
      </w:r>
      <w:r/>
    </w:p>
    <w:p>
      <w:pPr>
        <w:pStyle w:val="1270"/>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第四章  采购需求</w:t>
      </w:r>
      <w:r>
        <w:rPr>
          <w:rFonts w:hint="eastAsia" w:ascii="宋体" w:hAnsi="宋体" w:cs="宋体"/>
          <w:sz w:val="24"/>
        </w:rPr>
      </w:r>
      <w:r/>
    </w:p>
    <w:p>
      <w:pPr>
        <w:pStyle w:val="1270"/>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第五章  合同草案条款</w:t>
      </w:r>
      <w:r>
        <w:rPr>
          <w:rFonts w:hint="eastAsia" w:ascii="宋体" w:hAnsi="宋体" w:cs="宋体"/>
          <w:sz w:val="24"/>
        </w:rPr>
      </w:r>
      <w:r/>
    </w:p>
    <w:p>
      <w:pPr>
        <w:pStyle w:val="1270"/>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第六章  响应文件格式</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270"/>
        <w:spacing w:line="440" w:lineRule="exact"/>
        <w:tabs>
          <w:tab w:val="left" w:pos="1080" w:leader="none"/>
          <w:tab w:val="left" w:pos="2014" w:leader="none"/>
        </w:tabs>
        <w:rPr>
          <w:rFonts w:hint="eastAsia" w:ascii="宋体" w:hAnsi="宋体" w:cs="宋体"/>
          <w:sz w:val="24"/>
        </w:rPr>
        <w:outlineLvl w:val="1"/>
      </w:pPr>
      <w:r>
        <w:rPr>
          <w:rFonts w:hint="eastAsia" w:ascii="宋体" w:hAnsi="宋体" w:cs="宋体"/>
          <w:sz w:val="24"/>
        </w:rPr>
        <w:t xml:space="preserve">7、对竞争性磋商文件的澄清或修改</w:t>
      </w:r>
      <w:r>
        <w:rPr>
          <w:rFonts w:hint="eastAsia" w:ascii="宋体" w:hAnsi="宋体" w:cs="宋体"/>
          <w:sz w:val="24"/>
        </w:rPr>
      </w:r>
      <w:r/>
    </w:p>
    <w:p>
      <w:pPr>
        <w:pStyle w:val="1270"/>
        <w:ind w:firstLine="480"/>
        <w:spacing w:line="440" w:lineRule="exact"/>
        <w:tabs>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7.1.采购人或采购代理机构对已发出的竞争性磋商文件进行必要澄清或者修改的，将在原公告发布媒体上以发布更正公告的形式通知所有获取磋商文件的供应商。</w:t>
      </w:r>
      <w:r>
        <w:rPr>
          <w:rFonts w:hint="eastAsia" w:ascii="宋体" w:hAnsi="宋体" w:cs="宋体"/>
          <w:sz w:val="24"/>
        </w:rPr>
      </w:r>
      <w:r/>
    </w:p>
    <w:p>
      <w:pPr>
        <w:pStyle w:val="1270"/>
        <w:ind w:firstLine="480"/>
        <w:spacing w:line="440" w:lineRule="exact"/>
        <w:tabs>
          <w:tab w:val="left" w:pos="1080" w:leader="none"/>
          <w:tab w:val="left" w:pos="1561" w:leader="none"/>
          <w:tab w:val="left" w:pos="2014" w:leader="none"/>
        </w:tabs>
        <w:rPr>
          <w:rFonts w:hint="eastAsia" w:ascii="宋体" w:hAnsi="宋体" w:cs="宋体"/>
          <w:sz w:val="28"/>
        </w:rPr>
      </w:pPr>
      <w:r>
        <w:rPr>
          <w:rFonts w:hint="eastAsia" w:ascii="宋体" w:hAnsi="宋体" w:cs="宋体"/>
          <w:sz w:val="24"/>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bookmarkStart w:id="180" w:name="_Toc151193624"/>
      <w:r/>
      <w:bookmarkStart w:id="181" w:name="_Toc151193914"/>
      <w:r/>
      <w:bookmarkStart w:id="182" w:name="_Toc150774731"/>
      <w:r/>
      <w:bookmarkStart w:id="183" w:name="_Toc151193768"/>
      <w:r/>
      <w:bookmarkStart w:id="184" w:name="_Toc226965799"/>
      <w:r/>
      <w:bookmarkStart w:id="185" w:name="_Toc151193840"/>
      <w:r/>
      <w:bookmarkStart w:id="186" w:name="_Toc226337222"/>
      <w:r/>
      <w:bookmarkStart w:id="187" w:name="_Toc151193696"/>
      <w:r/>
      <w:bookmarkStart w:id="188" w:name="_Toc305158868"/>
      <w:r/>
      <w:bookmarkStart w:id="189" w:name="_Toc264969216"/>
      <w:r/>
      <w:bookmarkStart w:id="190" w:name="_Toc265228364"/>
      <w:r/>
      <w:bookmarkStart w:id="191" w:name="_Toc195842891"/>
      <w:r/>
      <w:bookmarkStart w:id="192" w:name="_Toc127151526"/>
      <w:r/>
      <w:bookmarkStart w:id="193" w:name="_Toc516367020"/>
      <w:r/>
      <w:bookmarkStart w:id="194" w:name="_Toc305158794"/>
      <w:r/>
      <w:bookmarkStart w:id="195" w:name="_Toc150509277"/>
      <w:r/>
      <w:bookmarkStart w:id="196" w:name="_Toc150774626"/>
      <w:r/>
      <w:bookmarkStart w:id="197" w:name="_Toc151190153"/>
      <w:r/>
      <w:bookmarkStart w:id="198" w:name="_Toc142311028"/>
      <w:r/>
      <w:bookmarkStart w:id="199" w:name="_Toc226965716"/>
      <w:r/>
      <w:bookmarkStart w:id="200" w:name="_Toc520356150"/>
      <w:r/>
      <w:bookmarkStart w:id="201" w:name="_Toc226309770"/>
      <w:r/>
      <w:bookmarkStart w:id="202" w:name="_Toc150480764"/>
      <w:r>
        <w:rPr>
          <w:rFonts w:hint="eastAsia" w:ascii="宋体" w:hAnsi="宋体" w:cs="宋体"/>
          <w:sz w:val="28"/>
        </w:rPr>
      </w:r>
      <w:r/>
    </w:p>
    <w:p>
      <w:pPr>
        <w:pStyle w:val="1469"/>
        <w:spacing w:before="0" w:line="440" w:lineRule="exact"/>
        <w:rPr>
          <w:rFonts w:hint="eastAsia" w:ascii="宋体" w:hAnsi="宋体" w:eastAsia="宋体" w:cs="宋体"/>
          <w:sz w:val="28"/>
        </w:rPr>
      </w:pPr>
      <w:r>
        <w:rPr>
          <w:rFonts w:hint="eastAsia" w:ascii="宋体" w:hAnsi="宋体" w:eastAsia="宋体" w:cs="宋体"/>
          <w:sz w:val="28"/>
        </w:rPr>
        <w:t xml:space="preserve">三   响应文件</w:t>
      </w:r>
      <w:bookmarkEnd w:id="193"/>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270"/>
        <w:spacing w:line="440" w:lineRule="exact"/>
        <w:tabs>
          <w:tab w:val="left" w:pos="360" w:leader="none"/>
        </w:tabs>
        <w:rPr>
          <w:rFonts w:hint="eastAsia" w:ascii="宋体" w:hAnsi="宋体" w:cs="宋体"/>
          <w:sz w:val="24"/>
        </w:rPr>
        <w:outlineLvl w:val="1"/>
      </w:pPr>
      <w:r/>
      <w:bookmarkStart w:id="203" w:name="_Toc151193915"/>
      <w:r/>
      <w:bookmarkStart w:id="204" w:name="_Toc520356151"/>
      <w:r/>
      <w:bookmarkStart w:id="205" w:name="_Toc127161441"/>
      <w:r/>
      <w:bookmarkStart w:id="206" w:name="_Toc226337223"/>
      <w:r/>
      <w:bookmarkStart w:id="207" w:name="_Toc142311029"/>
      <w:r/>
      <w:bookmarkStart w:id="208" w:name="_Toc226965717"/>
      <w:r/>
      <w:bookmarkStart w:id="209" w:name="_Toc151193697"/>
      <w:r/>
      <w:bookmarkStart w:id="210" w:name="_Toc151193769"/>
      <w:r/>
      <w:bookmarkStart w:id="211" w:name="_Toc151190154"/>
      <w:r/>
      <w:bookmarkStart w:id="212" w:name="_Toc164608641"/>
      <w:r/>
      <w:bookmarkStart w:id="213" w:name="_Toc265228365"/>
      <w:r/>
      <w:bookmarkStart w:id="214" w:name="_Toc150509278"/>
      <w:r/>
      <w:bookmarkStart w:id="215" w:name="_Toc150774627"/>
      <w:r/>
      <w:bookmarkStart w:id="216" w:name="_Toc226965800"/>
      <w:r/>
      <w:bookmarkStart w:id="217" w:name="_Toc127151527"/>
      <w:r/>
      <w:bookmarkStart w:id="218" w:name="_Toc264969217"/>
      <w:r/>
      <w:bookmarkStart w:id="219" w:name="_Toc150480765"/>
      <w:r/>
      <w:bookmarkStart w:id="220" w:name="_Toc151193625"/>
      <w:r/>
      <w:bookmarkStart w:id="221" w:name="_Toc226309771"/>
      <w:r/>
      <w:bookmarkStart w:id="222" w:name="_Toc305158869"/>
      <w:r/>
      <w:bookmarkStart w:id="223" w:name="_Toc164608796"/>
      <w:r/>
      <w:bookmarkStart w:id="224" w:name="_Toc305158795"/>
      <w:r/>
      <w:bookmarkStart w:id="225" w:name="_Toc195842892"/>
      <w:r/>
      <w:bookmarkStart w:id="226" w:name="_Toc164229222"/>
      <w:r/>
      <w:bookmarkStart w:id="227" w:name="_Toc164351621"/>
      <w:r/>
      <w:bookmarkStart w:id="228" w:name="_Toc149720820"/>
      <w:r/>
      <w:bookmarkStart w:id="229" w:name="_Toc151193841"/>
      <w:r/>
      <w:bookmarkStart w:id="230" w:name="_Toc150774732"/>
      <w:r/>
      <w:bookmarkStart w:id="231" w:name="_Toc516367021"/>
      <w:r/>
      <w:bookmarkStart w:id="232" w:name="_Toc127151728"/>
      <w:r/>
      <w:bookmarkStart w:id="233" w:name="_Toc164229368"/>
      <w:r>
        <w:rPr>
          <w:rFonts w:hint="eastAsia" w:ascii="宋体" w:hAnsi="宋体" w:cs="宋体"/>
          <w:sz w:val="24"/>
        </w:rPr>
        <w:t xml:space="preserve">8、响应范围、竞争性磋商文件中计量单位的使用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sz w:val="24"/>
        </w:rPr>
        <w:t xml:space="preserve">及磋商语言</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8.2.除竞争性磋商文件有特殊要求外，本项目磋商所使用的计量单位，应采用中华人民共和国法定计量单位。</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sz w:val="24"/>
        </w:rPr>
      </w:r>
      <w:r/>
    </w:p>
    <w:p>
      <w:pPr>
        <w:pStyle w:val="1270"/>
        <w:spacing w:line="440" w:lineRule="exact"/>
        <w:tabs>
          <w:tab w:val="left" w:pos="360" w:leader="none"/>
        </w:tabs>
        <w:rPr>
          <w:rFonts w:hint="eastAsia" w:ascii="宋体" w:hAnsi="宋体" w:cs="宋体"/>
          <w:sz w:val="24"/>
        </w:rPr>
        <w:outlineLvl w:val="1"/>
      </w:pPr>
      <w:r/>
      <w:bookmarkStart w:id="234" w:name="_Toc151193770"/>
      <w:r/>
      <w:bookmarkStart w:id="235" w:name="_Toc264969218"/>
      <w:r/>
      <w:bookmarkStart w:id="236" w:name="_Toc150774628"/>
      <w:r/>
      <w:bookmarkStart w:id="237" w:name="_Toc150480766"/>
      <w:r/>
      <w:bookmarkStart w:id="238" w:name="_Toc226337224"/>
      <w:r/>
      <w:bookmarkStart w:id="239" w:name="_Toc305158796"/>
      <w:r/>
      <w:bookmarkStart w:id="240" w:name="_Toc127151528"/>
      <w:r/>
      <w:bookmarkStart w:id="241" w:name="_Ref467306676"/>
      <w:r/>
      <w:bookmarkStart w:id="242" w:name="_Toc516367022"/>
      <w:r/>
      <w:bookmarkStart w:id="243" w:name="_Ref467306195"/>
      <w:r/>
      <w:bookmarkStart w:id="244" w:name="_Toc164229223"/>
      <w:r/>
      <w:bookmarkStart w:id="245" w:name="_Toc195842893"/>
      <w:r/>
      <w:bookmarkStart w:id="246" w:name="_Toc265228366"/>
      <w:r/>
      <w:bookmarkStart w:id="247" w:name="_Toc127151729"/>
      <w:r/>
      <w:bookmarkStart w:id="248" w:name="_Toc151193842"/>
      <w:r/>
      <w:bookmarkStart w:id="249" w:name="_Toc226965718"/>
      <w:r/>
      <w:bookmarkStart w:id="250" w:name="_Toc151193698"/>
      <w:r/>
      <w:bookmarkStart w:id="251" w:name="_Toc149720821"/>
      <w:r/>
      <w:bookmarkStart w:id="252" w:name="_Toc151193626"/>
      <w:r/>
      <w:bookmarkStart w:id="253" w:name="_Toc151193916"/>
      <w:r/>
      <w:bookmarkStart w:id="254" w:name="_Toc164608797"/>
      <w:r/>
      <w:bookmarkStart w:id="255" w:name="_Toc520356152"/>
      <w:r/>
      <w:bookmarkStart w:id="256" w:name="_Toc150774733"/>
      <w:r/>
      <w:bookmarkStart w:id="257" w:name="_Toc151190155"/>
      <w:r/>
      <w:bookmarkStart w:id="258" w:name="_Toc226965801"/>
      <w:r/>
      <w:bookmarkStart w:id="259" w:name="_Toc164351622"/>
      <w:r/>
      <w:bookmarkStart w:id="260" w:name="_Toc150509279"/>
      <w:r/>
      <w:bookmarkStart w:id="261" w:name="_Toc127161442"/>
      <w:r/>
      <w:bookmarkStart w:id="262" w:name="_Toc226309772"/>
      <w:r/>
      <w:bookmarkStart w:id="263" w:name="_Toc164229369"/>
      <w:r/>
      <w:bookmarkStart w:id="264" w:name="_Toc164608642"/>
      <w:r/>
      <w:bookmarkStart w:id="265" w:name="_Toc305158870"/>
      <w:r/>
      <w:bookmarkStart w:id="266" w:name="_Toc142311030"/>
      <w:r>
        <w:rPr>
          <w:rFonts w:hint="eastAsia" w:ascii="宋体" w:hAnsi="宋体" w:cs="宋体"/>
          <w:sz w:val="24"/>
        </w:rPr>
        <w:t xml:space="preserve">9、响应文件</w:t>
      </w:r>
      <w:bookmarkEnd w:id="241"/>
      <w:r/>
      <w:bookmarkEnd w:id="242"/>
      <w:r/>
      <w:bookmarkEnd w:id="243"/>
      <w:r>
        <w:rPr>
          <w:rFonts w:hint="eastAsia" w:ascii="宋体" w:hAnsi="宋体" w:cs="宋体"/>
          <w:sz w:val="24"/>
        </w:rPr>
        <w:t xml:space="preserve">构成</w:t>
      </w:r>
      <w:bookmarkEnd w:id="234"/>
      <w:r/>
      <w:bookmarkEnd w:id="235"/>
      <w:r/>
      <w:bookmarkEnd w:id="236"/>
      <w:r/>
      <w:bookmarkEnd w:id="237"/>
      <w:r/>
      <w:bookmarkEnd w:id="238"/>
      <w:r/>
      <w:bookmarkEnd w:id="239"/>
      <w:r/>
      <w:bookmarkEnd w:id="240"/>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9.1.供应商应当按照竞争性磋商文件的要求编制响应文件，并对其提交的响应文件的真实性、合法性承担法律责任。响应文件的部分格式要求，见第六章《响应文件格式》。</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9.3.第三章《评审方法和评审标准》中涉及的证明文件。</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9.5.供应商认为应附的其他材料。</w:t>
      </w:r>
      <w:bookmarkEnd w:id="267"/>
      <w:r>
        <w:rPr>
          <w:rFonts w:hint="eastAsia" w:ascii="宋体" w:hAnsi="宋体" w:cs="宋体"/>
          <w:sz w:val="24"/>
        </w:rPr>
      </w:r>
      <w:r/>
    </w:p>
    <w:p>
      <w:pPr>
        <w:pStyle w:val="1270"/>
        <w:spacing w:line="440" w:lineRule="exact"/>
        <w:tabs>
          <w:tab w:val="left" w:pos="360" w:leader="none"/>
        </w:tabs>
        <w:rPr>
          <w:rFonts w:hint="eastAsia" w:ascii="宋体" w:hAnsi="宋体" w:cs="宋体"/>
          <w:sz w:val="24"/>
        </w:rPr>
        <w:outlineLvl w:val="1"/>
      </w:pPr>
      <w:r/>
      <w:bookmarkStart w:id="268" w:name="_Toc151193772"/>
      <w:r/>
      <w:bookmarkStart w:id="269" w:name="_Toc164351624"/>
      <w:r/>
      <w:bookmarkStart w:id="270" w:name="_Toc142311032"/>
      <w:r/>
      <w:bookmarkStart w:id="271" w:name="_Toc127161444"/>
      <w:r/>
      <w:bookmarkStart w:id="272" w:name="_Toc195842895"/>
      <w:r/>
      <w:bookmarkStart w:id="273" w:name="_Toc150480768"/>
      <w:r/>
      <w:bookmarkStart w:id="274" w:name="_Toc151193628"/>
      <w:r/>
      <w:bookmarkStart w:id="275" w:name="_Toc149720823"/>
      <w:r/>
      <w:bookmarkStart w:id="276" w:name="_Toc520356155"/>
      <w:r/>
      <w:bookmarkStart w:id="277" w:name="_Toc151193918"/>
      <w:r/>
      <w:bookmarkStart w:id="278" w:name="_Toc127151530"/>
      <w:r/>
      <w:bookmarkStart w:id="279" w:name="_Toc164608644"/>
      <w:r/>
      <w:bookmarkStart w:id="280" w:name="_Toc150774735"/>
      <w:r/>
      <w:bookmarkStart w:id="281" w:name="_Toc150774630"/>
      <w:r/>
      <w:bookmarkStart w:id="282" w:name="_Toc150509281"/>
      <w:r/>
      <w:bookmarkStart w:id="283" w:name="_Toc151193844"/>
      <w:r/>
      <w:bookmarkStart w:id="284" w:name="_Toc151190157"/>
      <w:r/>
      <w:bookmarkStart w:id="285" w:name="_Toc164229225"/>
      <w:r/>
      <w:bookmarkStart w:id="286" w:name="_Toc151193700"/>
      <w:r/>
      <w:bookmarkStart w:id="287" w:name="_Toc127151731"/>
      <w:r/>
      <w:bookmarkStart w:id="288" w:name="_Toc164229371"/>
      <w:r/>
      <w:bookmarkStart w:id="289" w:name="_Toc164608799"/>
      <w:r>
        <w:rPr>
          <w:rFonts w:hint="eastAsia" w:ascii="宋体" w:hAnsi="宋体" w:cs="宋体"/>
          <w:sz w:val="24"/>
        </w:rPr>
        <w:t xml:space="preserve">10、报价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10.1.所有响应均以人民币报价。</w:t>
      </w:r>
      <w:r>
        <w:rPr>
          <w:rFonts w:hint="eastAsia" w:ascii="宋体" w:hAnsi="宋体" w:cs="宋体"/>
          <w:sz w:val="24"/>
        </w:rPr>
      </w:r>
      <w:r/>
    </w:p>
    <w:p>
      <w:pPr>
        <w:pStyle w:val="1270"/>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10.2.供应商的报价应包括为完成本项目所发生的一切费用和税费，采购人将不再支付报价以外的任何费用。供应商的报价应包括但不限于下列内容，《供应商须知资料表》中有特殊规定的，从其规定。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10.2.1.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10.2.2.按照竞争性磋商文件要求完成本项目的全部相关工程或服务费用。</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10.3.采购人不得向供应商索要或者接受其给予的赠品、回扣或者与采购无关的其他商品、服务。</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10.4.供应商不能提供任何有选择性或可调整的最终报价（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270"/>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11、磋商保证金</w:t>
      </w:r>
      <w:r>
        <w:rPr>
          <w:rFonts w:hint="eastAsia" w:ascii="宋体" w:hAnsi="宋体" w:cs="宋体"/>
          <w:sz w:val="24"/>
        </w:rPr>
      </w:r>
      <w:r/>
    </w:p>
    <w:p>
      <w:pPr>
        <w:pStyle w:val="1270"/>
        <w:ind w:firstLine="360"/>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根据江苏省和常州市的相关文件规定，免收保证金。</w:t>
      </w:r>
      <w:r>
        <w:rPr>
          <w:rFonts w:hint="eastAsia" w:ascii="宋体" w:hAnsi="宋体" w:cs="宋体"/>
          <w:sz w:val="24"/>
        </w:rPr>
      </w:r>
      <w:r/>
    </w:p>
    <w:p>
      <w:pPr>
        <w:pStyle w:val="1270"/>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12、响应有效期</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12.1.响应文件应在本竞争性磋商文件《供应商须知资料表》中规定的响应有效期内保持有效，响应有效期少于竞争性磋商文件规定期限的，其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270"/>
        <w:spacing w:line="440" w:lineRule="exact"/>
        <w:tabs>
          <w:tab w:val="left" w:pos="360" w:leader="none"/>
        </w:tabs>
        <w:rPr>
          <w:rFonts w:hint="eastAsia" w:ascii="宋体" w:hAnsi="宋体" w:cs="宋体"/>
          <w:sz w:val="24"/>
        </w:rPr>
        <w:outlineLvl w:val="1"/>
      </w:pPr>
      <w:r/>
      <w:bookmarkStart w:id="290" w:name="_Toc127151533"/>
      <w:r/>
      <w:bookmarkStart w:id="291" w:name="_Toc150509284"/>
      <w:r/>
      <w:bookmarkStart w:id="292" w:name="_Toc164608647"/>
      <w:r/>
      <w:bookmarkStart w:id="293" w:name="_Toc164351627"/>
      <w:r/>
      <w:bookmarkStart w:id="294" w:name="_Toc226965806"/>
      <w:r/>
      <w:bookmarkStart w:id="295" w:name="_Toc127161447"/>
      <w:r/>
      <w:bookmarkStart w:id="296" w:name="_Toc149720826"/>
      <w:r/>
      <w:bookmarkStart w:id="297" w:name="_Toc151193847"/>
      <w:r/>
      <w:bookmarkStart w:id="298" w:name="_Toc151193631"/>
      <w:r/>
      <w:bookmarkStart w:id="299" w:name="_Toc265228371"/>
      <w:r/>
      <w:bookmarkStart w:id="300" w:name="_Toc164608802"/>
      <w:r/>
      <w:bookmarkStart w:id="301" w:name="_Toc195842898"/>
      <w:r/>
      <w:bookmarkStart w:id="302" w:name="_Toc305158875"/>
      <w:r/>
      <w:bookmarkStart w:id="303" w:name="_Toc142311035"/>
      <w:r/>
      <w:bookmarkStart w:id="304" w:name="_Toc226337229"/>
      <w:r/>
      <w:bookmarkStart w:id="305" w:name="_Toc151190160"/>
      <w:r/>
      <w:bookmarkStart w:id="306" w:name="_Toc151193921"/>
      <w:r/>
      <w:bookmarkStart w:id="307" w:name="_Toc150774633"/>
      <w:r/>
      <w:bookmarkStart w:id="308" w:name="_Toc164229374"/>
      <w:r/>
      <w:bookmarkStart w:id="309" w:name="_Toc150480771"/>
      <w:r/>
      <w:bookmarkStart w:id="310" w:name="_Toc127151734"/>
      <w:r/>
      <w:bookmarkStart w:id="311" w:name="_Toc151193775"/>
      <w:r/>
      <w:bookmarkStart w:id="312" w:name="_Toc305158801"/>
      <w:r/>
      <w:bookmarkStart w:id="313" w:name="_Toc150774738"/>
      <w:r/>
      <w:bookmarkStart w:id="314" w:name="_Toc151193703"/>
      <w:r/>
      <w:bookmarkStart w:id="315" w:name="_Toc520356158"/>
      <w:r/>
      <w:bookmarkStart w:id="316" w:name="_Toc264969223"/>
      <w:r/>
      <w:bookmarkStart w:id="317" w:name="_Toc226965723"/>
      <w:r/>
      <w:bookmarkStart w:id="318" w:name="_Toc226309777"/>
      <w:r/>
      <w:bookmarkStart w:id="319" w:name="_Toc164229228"/>
      <w:r>
        <w:rPr>
          <w:rFonts w:hint="eastAsia" w:ascii="宋体" w:hAnsi="宋体" w:cs="宋体"/>
          <w:sz w:val="24"/>
        </w:rPr>
        <w:t xml:space="preserve">13、响应文件的签署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sz w:val="24"/>
        </w:rPr>
        <w:t xml:space="preserve">、盖章</w:t>
      </w:r>
      <w:r>
        <w:rPr>
          <w:rFonts w:hint="eastAsia" w:ascii="宋体" w:hAnsi="宋体" w:cs="宋体"/>
          <w:sz w:val="24"/>
        </w:rPr>
      </w:r>
      <w:r/>
    </w:p>
    <w:p>
      <w:pPr>
        <w:pStyle w:val="1270"/>
        <w:ind w:firstLine="480"/>
        <w:spacing w:line="440" w:lineRule="exact"/>
        <w:tabs>
          <w:tab w:val="left" w:pos="1080" w:leader="none"/>
        </w:tabs>
        <w:rPr>
          <w:rFonts w:hint="eastAsia" w:ascii="宋体" w:hAnsi="宋体" w:cs="宋体"/>
          <w:sz w:val="24"/>
        </w:rPr>
      </w:pPr>
      <w:r/>
      <w:bookmarkStart w:id="320" w:name="_Toc305158876"/>
      <w:r/>
      <w:bookmarkStart w:id="321" w:name="_Toc226337230"/>
      <w:r/>
      <w:bookmarkStart w:id="322" w:name="_Toc151193848"/>
      <w:r/>
      <w:bookmarkStart w:id="323" w:name="_Toc150480772"/>
      <w:r/>
      <w:bookmarkStart w:id="324" w:name="_Toc264969224"/>
      <w:r/>
      <w:bookmarkStart w:id="325" w:name="_Toc226309778"/>
      <w:r/>
      <w:bookmarkStart w:id="326" w:name="_Toc150774634"/>
      <w:r/>
      <w:bookmarkStart w:id="327" w:name="_Toc265228372"/>
      <w:r/>
      <w:bookmarkStart w:id="328" w:name="_Toc520356159"/>
      <w:r/>
      <w:bookmarkStart w:id="329" w:name="_Toc151193776"/>
      <w:r/>
      <w:bookmarkStart w:id="330" w:name="_Toc151190161"/>
      <w:r/>
      <w:bookmarkStart w:id="331" w:name="_Toc127151534"/>
      <w:r/>
      <w:bookmarkStart w:id="332" w:name="_Toc151193632"/>
      <w:r/>
      <w:bookmarkStart w:id="333" w:name="_Toc142311036"/>
      <w:r/>
      <w:bookmarkStart w:id="334" w:name="_Toc151193922"/>
      <w:r/>
      <w:bookmarkStart w:id="335" w:name="_Toc150774739"/>
      <w:r/>
      <w:bookmarkStart w:id="336" w:name="_Toc305158802"/>
      <w:r/>
      <w:bookmarkStart w:id="337" w:name="_Toc151193704"/>
      <w:r/>
      <w:bookmarkStart w:id="338" w:name="_Toc226965724"/>
      <w:r/>
      <w:bookmarkStart w:id="339" w:name="_Toc226965807"/>
      <w:r/>
      <w:bookmarkStart w:id="340" w:name="_Toc195842899"/>
      <w:r/>
      <w:bookmarkStart w:id="341" w:name="_Toc150509285"/>
      <w:r>
        <w:rPr>
          <w:rFonts w:hint="eastAsia" w:ascii="宋体" w:hAnsi="宋体" w:cs="宋体"/>
          <w:sz w:val="24"/>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rPr>
      </w:pPr>
      <w:r>
        <w:rPr>
          <w:rFonts w:hint="eastAsia" w:ascii="宋体" w:hAnsi="宋体" w:cs="宋体"/>
          <w:sz w:val="24"/>
        </w:rPr>
        <w:t xml:space="preserve">13.2.竞争性磋商文件要求盖章的内容，一般通过投标文件编制工具加盖电子签章。</w:t>
      </w:r>
      <w:r>
        <w:rPr>
          <w:rFonts w:hint="eastAsia" w:ascii="宋体" w:hAnsi="宋体" w:cs="宋体"/>
        </w:rPr>
      </w:r>
      <w:r/>
    </w:p>
    <w:p>
      <w:pPr>
        <w:pStyle w:val="1469"/>
        <w:spacing w:before="0" w:line="440" w:lineRule="exact"/>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270"/>
        <w:spacing w:line="440" w:lineRule="exact"/>
        <w:tabs>
          <w:tab w:val="left" w:pos="360" w:leader="none"/>
        </w:tabs>
        <w:rPr>
          <w:rFonts w:hint="eastAsia" w:ascii="宋体" w:hAnsi="宋体" w:cs="宋体"/>
          <w:sz w:val="24"/>
        </w:rPr>
        <w:outlineLvl w:val="1"/>
      </w:pPr>
      <w:r/>
      <w:bookmarkStart w:id="342" w:name="_Toc151193633"/>
      <w:r/>
      <w:bookmarkStart w:id="343" w:name="_Toc150509286"/>
      <w:r/>
      <w:bookmarkStart w:id="344" w:name="_Toc127151535"/>
      <w:r/>
      <w:bookmarkStart w:id="345" w:name="_Toc142311037"/>
      <w:r/>
      <w:bookmarkStart w:id="346" w:name="_Toc305158803"/>
      <w:r/>
      <w:bookmarkStart w:id="347" w:name="_Toc264969228"/>
      <w:r/>
      <w:bookmarkStart w:id="348" w:name="_Toc150480776"/>
      <w:r/>
      <w:bookmarkStart w:id="349" w:name="_Toc265228376"/>
      <w:r/>
      <w:bookmarkStart w:id="350" w:name="_Toc520356163"/>
      <w:r/>
      <w:bookmarkStart w:id="351" w:name="_Toc226309782"/>
      <w:r/>
      <w:bookmarkStart w:id="352" w:name="_Toc151193708"/>
      <w:r/>
      <w:bookmarkStart w:id="353" w:name="_Toc305158806"/>
      <w:r/>
      <w:bookmarkStart w:id="354" w:name="_Toc150774638"/>
      <w:r/>
      <w:bookmarkStart w:id="355" w:name="_Toc226965728"/>
      <w:r/>
      <w:bookmarkStart w:id="356" w:name="_Toc265228373"/>
      <w:r/>
      <w:bookmarkStart w:id="357" w:name="_Toc127151538"/>
      <w:r/>
      <w:bookmarkStart w:id="358" w:name="_Toc151193926"/>
      <w:r/>
      <w:bookmarkStart w:id="359" w:name="_Toc151190165"/>
      <w:r/>
      <w:bookmarkStart w:id="360" w:name="_Toc150509289"/>
      <w:r/>
      <w:bookmarkStart w:id="361" w:name="_Toc151193852"/>
      <w:r/>
      <w:bookmarkStart w:id="362" w:name="_Toc195842903"/>
      <w:r/>
      <w:bookmarkStart w:id="363" w:name="_Toc226965811"/>
      <w:r/>
      <w:bookmarkStart w:id="364" w:name="_Toc151193636"/>
      <w:r/>
      <w:bookmarkStart w:id="365" w:name="_Toc226337234"/>
      <w:r/>
      <w:bookmarkStart w:id="366" w:name="_Toc305158880"/>
      <w:r/>
      <w:bookmarkStart w:id="367" w:name="_Toc150774743"/>
      <w:r/>
      <w:bookmarkStart w:id="368" w:name="_Toc151193780"/>
      <w:r/>
      <w:bookmarkStart w:id="369" w:name="_Toc127151736"/>
      <w:r/>
      <w:bookmarkStart w:id="370" w:name="_Toc127161449"/>
      <w:r/>
      <w:bookmarkStart w:id="371" w:name="_Toc151193923"/>
      <w:r/>
      <w:bookmarkStart w:id="372" w:name="_Toc150774635"/>
      <w:r/>
      <w:bookmarkStart w:id="373" w:name="_Toc151193849"/>
      <w:r/>
      <w:bookmarkStart w:id="374" w:name="_Toc195842900"/>
      <w:r/>
      <w:bookmarkStart w:id="375" w:name="_Toc142311040"/>
      <w:r/>
      <w:bookmarkStart w:id="376" w:name="_Toc226965808"/>
      <w:r/>
      <w:bookmarkStart w:id="377" w:name="_Toc149720828"/>
      <w:r/>
      <w:bookmarkStart w:id="378" w:name="_Toc305158877"/>
      <w:r/>
      <w:bookmarkStart w:id="379" w:name="_Toc151190162"/>
      <w:r/>
      <w:bookmarkStart w:id="380" w:name="_Toc164608804"/>
      <w:r/>
      <w:bookmarkStart w:id="381" w:name="_Toc264969225"/>
      <w:r/>
      <w:bookmarkStart w:id="382" w:name="_Toc164351629"/>
      <w:r/>
      <w:bookmarkStart w:id="383" w:name="_Toc520356160"/>
      <w:r/>
      <w:bookmarkStart w:id="384" w:name="_Toc226309779"/>
      <w:r/>
      <w:bookmarkStart w:id="385" w:name="_Toc164229376"/>
      <w:r/>
      <w:bookmarkStart w:id="386" w:name="_Toc226965725"/>
      <w:r/>
      <w:bookmarkStart w:id="387" w:name="_Toc150480773"/>
      <w:r/>
      <w:bookmarkStart w:id="388" w:name="_Toc151193705"/>
      <w:r/>
      <w:bookmarkStart w:id="389" w:name="_Toc226337231"/>
      <w:r/>
      <w:bookmarkStart w:id="390" w:name="_Toc164229230"/>
      <w:r/>
      <w:bookmarkStart w:id="391" w:name="_Toc164608649"/>
      <w:r/>
      <w:bookmarkStart w:id="392" w:name="_Toc151193777"/>
      <w:r/>
      <w:bookmarkStart w:id="393" w:name="_Toc150774740"/>
      <w:r>
        <w:rPr>
          <w:rFonts w:hint="eastAsia" w:ascii="宋体" w:hAnsi="宋体" w:cs="宋体"/>
          <w:sz w:val="24"/>
        </w:rPr>
        <w:t xml:space="preserve">14、响应文件的</w:t>
      </w:r>
      <w:bookmarkEnd w:id="342"/>
      <w:r/>
      <w:bookmarkEnd w:id="343"/>
      <w:r/>
      <w:bookmarkEnd w:id="344"/>
      <w:r/>
      <w:bookmarkEnd w:id="345"/>
      <w:r/>
      <w:bookmarkEnd w:id="346"/>
      <w:r/>
      <w:bookmarkEnd w:id="356"/>
      <w:r/>
      <w:bookmarkEnd w:id="369"/>
      <w:r/>
      <w:bookmarkEnd w:id="370"/>
      <w:r/>
      <w:bookmarkEnd w:id="371"/>
      <w:r/>
      <w:bookmarkEnd w:id="372"/>
      <w:r/>
      <w:bookmarkEnd w:id="373"/>
      <w:r/>
      <w:bookmarkEnd w:id="374"/>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宋体" w:hAnsi="宋体" w:cs="宋体"/>
          <w:sz w:val="24"/>
        </w:rPr>
        <w:t xml:space="preserve">提交</w:t>
      </w:r>
      <w:r>
        <w:rPr>
          <w:rFonts w:hint="eastAsia" w:ascii="宋体" w:hAnsi="宋体" w:cs="宋体"/>
          <w:sz w:val="24"/>
        </w:rPr>
      </w:r>
      <w:r/>
    </w:p>
    <w:p>
      <w:pPr>
        <w:pStyle w:val="1270"/>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14.1.本项目使用苏采云政府采购一体化平台。供应商根据竞争性磋商文件及苏采云政府采购一体化平台供应商操作手册要求编制、生成并提交电子响应文件。</w:t>
      </w:r>
      <w:r>
        <w:rPr>
          <w:rFonts w:hint="eastAsia" w:ascii="宋体" w:hAnsi="宋体" w:cs="宋体"/>
          <w:sz w:val="24"/>
        </w:rPr>
      </w:r>
      <w:r/>
    </w:p>
    <w:p>
      <w:pPr>
        <w:pStyle w:val="1270"/>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14.2.采购人及采购代理机构拒绝接受通过电子交易平台以外任何形式提交的响应文件，磋商保证金除外。</w:t>
      </w:r>
      <w:r>
        <w:rPr>
          <w:rFonts w:hint="eastAsia" w:ascii="宋体" w:hAnsi="宋体" w:cs="宋体"/>
          <w:sz w:val="24"/>
        </w:rPr>
      </w:r>
      <w:r/>
    </w:p>
    <w:p>
      <w:pPr>
        <w:pStyle w:val="1270"/>
        <w:spacing w:line="360" w:lineRule="auto"/>
        <w:tabs>
          <w:tab w:val="left" w:pos="360" w:leader="none"/>
        </w:tabs>
        <w:rPr>
          <w:rFonts w:hint="eastAsia" w:ascii="宋体" w:hAnsi="宋体" w:cs="宋体"/>
          <w:sz w:val="24"/>
        </w:rPr>
        <w:outlineLvl w:val="1"/>
      </w:pPr>
      <w:r/>
      <w:bookmarkStart w:id="394" w:name="_Toc127151737"/>
      <w:r/>
      <w:bookmarkStart w:id="395" w:name="_Toc164229231"/>
      <w:r/>
      <w:bookmarkStart w:id="396" w:name="_Toc226309780"/>
      <w:r/>
      <w:bookmarkStart w:id="397" w:name="_Toc149720829"/>
      <w:r/>
      <w:bookmarkStart w:id="398" w:name="_Toc520356161"/>
      <w:r/>
      <w:bookmarkStart w:id="399" w:name="_Toc164351630"/>
      <w:r/>
      <w:bookmarkStart w:id="400" w:name="_Toc150509287"/>
      <w:r/>
      <w:bookmarkStart w:id="401" w:name="_Toc151193924"/>
      <w:r/>
      <w:bookmarkStart w:id="402" w:name="_Toc265228374"/>
      <w:r/>
      <w:bookmarkStart w:id="403" w:name="_Toc150774741"/>
      <w:r/>
      <w:bookmarkStart w:id="404" w:name="_Toc305158878"/>
      <w:r/>
      <w:bookmarkStart w:id="405" w:name="_Toc305158804"/>
      <w:r/>
      <w:bookmarkStart w:id="406" w:name="_Toc226965809"/>
      <w:r/>
      <w:bookmarkStart w:id="407" w:name="_Toc151193634"/>
      <w:r/>
      <w:bookmarkStart w:id="408" w:name="_Toc151193778"/>
      <w:r/>
      <w:bookmarkStart w:id="409" w:name="_Toc127161450"/>
      <w:r/>
      <w:bookmarkStart w:id="410" w:name="_Toc151193850"/>
      <w:r/>
      <w:bookmarkStart w:id="411" w:name="_Toc164229377"/>
      <w:r/>
      <w:bookmarkStart w:id="412" w:name="_Toc142311038"/>
      <w:r/>
      <w:bookmarkStart w:id="413" w:name="_Toc151190163"/>
      <w:r/>
      <w:bookmarkStart w:id="414" w:name="_Toc264969226"/>
      <w:r/>
      <w:bookmarkStart w:id="415" w:name="_Toc226337232"/>
      <w:r/>
      <w:bookmarkStart w:id="416" w:name="_Toc164608650"/>
      <w:r/>
      <w:bookmarkStart w:id="417" w:name="_Toc195842901"/>
      <w:r/>
      <w:bookmarkStart w:id="418" w:name="_Toc127151536"/>
      <w:r/>
      <w:bookmarkStart w:id="419" w:name="_Toc226965726"/>
      <w:r/>
      <w:bookmarkStart w:id="420" w:name="_Toc151193706"/>
      <w:r/>
      <w:bookmarkStart w:id="421" w:name="_Toc150774636"/>
      <w:r/>
      <w:bookmarkStart w:id="422" w:name="_Toc164608805"/>
      <w:r/>
      <w:bookmarkStart w:id="423" w:name="_Toc150480774"/>
      <w:r>
        <w:rPr>
          <w:rFonts w:hint="eastAsia" w:ascii="宋体" w:hAnsi="宋体" w:cs="宋体"/>
          <w:sz w:val="24"/>
        </w:rPr>
        <w:t xml:space="preserve">15、响应文件截止</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Pr>
          <w:rFonts w:hint="eastAsia" w:ascii="宋体" w:hAnsi="宋体" w:cs="宋体"/>
          <w:sz w:val="24"/>
        </w:rPr>
        <w:t xml:space="preserve">时间</w:t>
      </w:r>
      <w:r>
        <w:rPr>
          <w:rFonts w:hint="eastAsia" w:ascii="宋体" w:hAnsi="宋体" w:cs="宋体"/>
          <w:sz w:val="24"/>
        </w:rPr>
      </w:r>
      <w:r/>
    </w:p>
    <w:p>
      <w:pPr>
        <w:pStyle w:val="1270"/>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15.1.供应商应在竞争性磋商文件要求提交响应文件截止时间前，将电子响应文件提交至苏采云政府采购一体化平台。</w:t>
      </w:r>
      <w:r>
        <w:rPr>
          <w:rFonts w:hint="eastAsia" w:ascii="宋体" w:hAnsi="宋体" w:cs="宋体"/>
          <w:sz w:val="24"/>
        </w:rPr>
      </w:r>
      <w:r/>
    </w:p>
    <w:p>
      <w:pPr>
        <w:pStyle w:val="1270"/>
        <w:spacing w:line="360" w:lineRule="auto"/>
        <w:tabs>
          <w:tab w:val="left" w:pos="360" w:leader="none"/>
        </w:tabs>
        <w:rPr>
          <w:rFonts w:hint="eastAsia" w:ascii="宋体" w:hAnsi="宋体" w:cs="宋体"/>
          <w:sz w:val="24"/>
        </w:rPr>
        <w:outlineLvl w:val="1"/>
      </w:pPr>
      <w:r/>
      <w:bookmarkStart w:id="424" w:name="_Toc151193707"/>
      <w:r/>
      <w:bookmarkStart w:id="425" w:name="_Toc151193635"/>
      <w:r/>
      <w:bookmarkStart w:id="426" w:name="_Toc151193851"/>
      <w:r/>
      <w:bookmarkStart w:id="427" w:name="_Toc164608651"/>
      <w:r/>
      <w:bookmarkStart w:id="428" w:name="_Toc265228375"/>
      <w:r/>
      <w:bookmarkStart w:id="429" w:name="_Toc164608806"/>
      <w:r/>
      <w:bookmarkStart w:id="430" w:name="_Toc195842902"/>
      <w:r/>
      <w:bookmarkStart w:id="431" w:name="_Toc305158805"/>
      <w:r/>
      <w:bookmarkStart w:id="432" w:name="_Toc127151738"/>
      <w:r/>
      <w:bookmarkStart w:id="433" w:name="_Toc226965727"/>
      <w:r/>
      <w:bookmarkStart w:id="434" w:name="_Toc149720830"/>
      <w:r/>
      <w:bookmarkStart w:id="435" w:name="_Toc226309781"/>
      <w:r/>
      <w:bookmarkStart w:id="436" w:name="_Toc127161451"/>
      <w:r/>
      <w:bookmarkStart w:id="437" w:name="_Toc164351631"/>
      <w:r/>
      <w:bookmarkStart w:id="438" w:name="_Toc150509288"/>
      <w:r/>
      <w:bookmarkStart w:id="439" w:name="_Toc520356162"/>
      <w:r/>
      <w:bookmarkStart w:id="440" w:name="_Toc151190164"/>
      <w:r/>
      <w:bookmarkStart w:id="441" w:name="_Toc142311039"/>
      <w:r/>
      <w:bookmarkStart w:id="442" w:name="_Toc150480775"/>
      <w:r/>
      <w:bookmarkStart w:id="443" w:name="_Toc151193925"/>
      <w:r/>
      <w:bookmarkStart w:id="444" w:name="_Toc150774637"/>
      <w:r/>
      <w:bookmarkStart w:id="445" w:name="_Toc164229378"/>
      <w:r/>
      <w:bookmarkStart w:id="446" w:name="_Toc127151537"/>
      <w:r/>
      <w:bookmarkStart w:id="447" w:name="_Toc226337233"/>
      <w:r/>
      <w:bookmarkStart w:id="448" w:name="_Toc264969227"/>
      <w:r/>
      <w:bookmarkStart w:id="449" w:name="_Toc164229232"/>
      <w:r/>
      <w:bookmarkStart w:id="450" w:name="_Toc305158879"/>
      <w:r/>
      <w:bookmarkStart w:id="451" w:name="_Toc150774742"/>
      <w:r/>
      <w:bookmarkStart w:id="452" w:name="_Toc226965810"/>
      <w:r/>
      <w:bookmarkStart w:id="453" w:name="_Toc151193779"/>
      <w:r>
        <w:rPr>
          <w:rFonts w:hint="eastAsia" w:ascii="宋体" w:hAnsi="宋体" w:cs="宋体"/>
          <w:sz w:val="24"/>
        </w:rPr>
        <w:t xml:space="preserve">16、响应文件的修改与撤回</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cs="宋体"/>
          <w:sz w:val="24"/>
        </w:rPr>
      </w:r>
      <w:r/>
    </w:p>
    <w:p>
      <w:pPr>
        <w:pStyle w:val="1270"/>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16.1.提交响应文件截止时间前，供应商可以通过电子交易平台对所提交的响应文件进行补充、修改或者撤回。</w:t>
      </w:r>
      <w:r>
        <w:rPr>
          <w:rFonts w:hint="eastAsia" w:ascii="宋体" w:hAnsi="宋体" w:cs="宋体"/>
          <w:color w:val="000000"/>
          <w:sz w:val="24"/>
        </w:rPr>
        <w:t xml:space="preserve">磋商保证金的补充、修改或者撤回</w:t>
      </w:r>
      <w:r>
        <w:rPr>
          <w:rFonts w:hint="eastAsia" w:ascii="宋体" w:hAnsi="宋体" w:cs="宋体"/>
          <w:sz w:val="24"/>
        </w:rPr>
        <w:t xml:space="preserve">无需通过电子交易平台，但应就其补充、修改或者撤回通知采购人或采购代理机构</w:t>
      </w:r>
      <w:r>
        <w:rPr>
          <w:rFonts w:hint="eastAsia" w:ascii="宋体" w:hAnsi="宋体" w:cs="宋体"/>
          <w:color w:val="000000"/>
          <w:sz w:val="24"/>
        </w:rPr>
        <w:t xml:space="preserve">。</w:t>
      </w:r>
      <w:r>
        <w:rPr>
          <w:rFonts w:hint="eastAsia" w:ascii="宋体" w:hAnsi="宋体" w:cs="宋体"/>
          <w:sz w:val="24"/>
        </w:rPr>
      </w:r>
      <w:r/>
    </w:p>
    <w:p>
      <w:pPr>
        <w:pStyle w:val="1270"/>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16.2.供应商对响应文件的补充、修改的内容应当按照竞争性磋商文件要求签署、盖章，作为响应文件的组成部分。补充、修改的内容与响应文件不一致的，以补充、修改的内容为准。</w:t>
      </w:r>
      <w:r>
        <w:rPr>
          <w:rFonts w:hint="eastAsia" w:ascii="宋体" w:hAnsi="宋体" w:cs="宋体"/>
          <w:sz w:val="24"/>
        </w:rPr>
      </w:r>
      <w:r/>
    </w:p>
    <w:p>
      <w:pPr>
        <w:pStyle w:val="1469"/>
        <w:spacing w:before="0" w:line="440" w:lineRule="exact"/>
        <w:rPr>
          <w:rFonts w:hint="eastAsia" w:ascii="宋体" w:hAnsi="宋体" w:eastAsia="宋体" w:cs="宋体"/>
          <w:sz w:val="28"/>
        </w:rPr>
      </w:pPr>
      <w:r>
        <w:rPr>
          <w:rFonts w:hint="eastAsia" w:ascii="宋体" w:hAnsi="宋体" w:eastAsia="宋体" w:cs="宋体"/>
          <w:sz w:val="28"/>
        </w:rPr>
        <w:t xml:space="preserve">五   </w:t>
      </w:r>
      <w:bookmarkEnd w:id="347"/>
      <w:r/>
      <w:bookmarkEnd w:id="348"/>
      <w:r/>
      <w:bookmarkEnd w:id="349"/>
      <w:r/>
      <w:bookmarkEnd w:id="350"/>
      <w:r/>
      <w:bookmarkEnd w:id="351"/>
      <w:r/>
      <w:bookmarkEnd w:id="352"/>
      <w:r/>
      <w:bookmarkEnd w:id="353"/>
      <w:r/>
      <w:bookmarkEnd w:id="354"/>
      <w:r/>
      <w:bookmarkEnd w:id="355"/>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75"/>
      <w:r>
        <w:rPr>
          <w:rFonts w:hint="eastAsia" w:ascii="宋体" w:hAnsi="宋体" w:eastAsia="宋体" w:cs="宋体"/>
          <w:sz w:val="28"/>
        </w:rPr>
        <w:t xml:space="preserve">评审</w:t>
      </w:r>
      <w:r>
        <w:rPr>
          <w:rFonts w:hint="eastAsia" w:ascii="宋体" w:hAnsi="宋体" w:eastAsia="宋体" w:cs="宋体"/>
          <w:sz w:val="28"/>
        </w:rPr>
      </w:r>
      <w:r/>
    </w:p>
    <w:p>
      <w:pPr>
        <w:pStyle w:val="1270"/>
        <w:spacing w:line="360" w:lineRule="auto"/>
        <w:tabs>
          <w:tab w:val="left" w:pos="360" w:leader="none"/>
        </w:tabs>
        <w:rPr>
          <w:rFonts w:hint="eastAsia" w:ascii="宋体" w:hAnsi="宋体" w:cs="宋体"/>
          <w:sz w:val="24"/>
        </w:rPr>
        <w:outlineLvl w:val="1"/>
      </w:pPr>
      <w:r/>
      <w:bookmarkStart w:id="454" w:name="_Toc151193859"/>
      <w:r/>
      <w:bookmarkStart w:id="455" w:name="_Toc226337241"/>
      <w:r/>
      <w:bookmarkStart w:id="456" w:name="_Toc142311047"/>
      <w:r/>
      <w:bookmarkStart w:id="457" w:name="_Toc151193643"/>
      <w:r/>
      <w:bookmarkStart w:id="458" w:name="_Toc150774645"/>
      <w:r/>
      <w:bookmarkStart w:id="459" w:name="_Toc151190172"/>
      <w:r/>
      <w:bookmarkStart w:id="460" w:name="_Toc305158887"/>
      <w:r/>
      <w:bookmarkStart w:id="461" w:name="_Toc520356169"/>
      <w:r/>
      <w:bookmarkStart w:id="462" w:name="_Toc226965818"/>
      <w:r/>
      <w:bookmarkStart w:id="463" w:name="_Toc150774750"/>
      <w:r/>
      <w:bookmarkStart w:id="464" w:name="_Toc265228383"/>
      <w:r/>
      <w:bookmarkStart w:id="465" w:name="_Toc195842910"/>
      <w:r/>
      <w:bookmarkStart w:id="466" w:name="_Toc264969235"/>
      <w:r/>
      <w:bookmarkStart w:id="467" w:name="_Toc151193715"/>
      <w:r/>
      <w:bookmarkStart w:id="468" w:name="_Toc226309789"/>
      <w:r/>
      <w:bookmarkStart w:id="469" w:name="_Toc150480783"/>
      <w:r/>
      <w:bookmarkStart w:id="470" w:name="_Toc151193933"/>
      <w:r/>
      <w:bookmarkStart w:id="471" w:name="_Toc127151545"/>
      <w:r/>
      <w:bookmarkStart w:id="472" w:name="_Toc151193787"/>
      <w:r/>
      <w:bookmarkStart w:id="473" w:name="_Toc150509296"/>
      <w:r/>
      <w:bookmarkStart w:id="474" w:name="_Toc226965735"/>
      <w:r/>
      <w:bookmarkStart w:id="475" w:name="_Toc305158813"/>
      <w:r>
        <w:rPr>
          <w:rFonts w:hint="eastAsia" w:ascii="宋体" w:hAnsi="宋体" w:cs="宋体"/>
          <w:sz w:val="24"/>
        </w:rPr>
        <w:t xml:space="preserve">17、响应文件的解密与开启</w:t>
      </w:r>
      <w:r>
        <w:rPr>
          <w:rFonts w:hint="eastAsia" w:ascii="宋体" w:hAnsi="宋体" w:cs="宋体"/>
          <w:sz w:val="24"/>
        </w:rPr>
      </w:r>
      <w:r/>
    </w:p>
    <w:p>
      <w:pPr>
        <w:pStyle w:val="1270"/>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17.1.采购人或采购代理机构将按竞争性磋商文件的规定，在响应文件提交截止时间的同一时间和竞争性磋商文件预先确定的地点开启响应文件。</w:t>
      </w:r>
      <w:r>
        <w:rPr>
          <w:rFonts w:hint="eastAsia" w:ascii="宋体" w:hAnsi="宋体" w:cs="宋体"/>
          <w:sz w:val="24"/>
        </w:rPr>
      </w:r>
      <w:r/>
    </w:p>
    <w:p>
      <w:pPr>
        <w:pStyle w:val="1270"/>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17.2.本项目采用不见面招交易模式，使用苏采云政府采购一体化平台在线进行解密。供应商应在规定的时间内对响应文件进行解密，因非系统原因导致的解密失败，视为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270"/>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17.3.供应商不足3家的，不予解密。</w:t>
      </w:r>
      <w:r>
        <w:rPr>
          <w:rFonts w:hint="eastAsia" w:ascii="宋体" w:hAnsi="宋体" w:cs="宋体"/>
          <w:sz w:val="24"/>
        </w:rPr>
      </w:r>
      <w:r/>
    </w:p>
    <w:p>
      <w:pPr>
        <w:pStyle w:val="1270"/>
        <w:ind w:left="357" w:firstLine="480"/>
        <w:spacing w:line="360" w:lineRule="auto"/>
        <w:tabs>
          <w:tab w:val="left" w:pos="1080" w:leader="none"/>
          <w:tab w:val="left" w:pos="2014" w:leader="none"/>
        </w:tabs>
        <w:rPr>
          <w:rFonts w:hint="eastAsia" w:ascii="宋体" w:hAnsi="宋体" w:cs="宋体"/>
          <w:sz w:val="24"/>
        </w:rPr>
      </w:pPr>
      <w:r/>
      <w:bookmarkStart w:id="476" w:name="_Toc520356165"/>
      <w:r>
        <w:rPr>
          <w:rFonts w:hint="eastAsia" w:ascii="宋体" w:hAnsi="宋体" w:cs="宋体"/>
          <w:sz w:val="24"/>
        </w:rPr>
        <w:t xml:space="preserve">17.4.本项目不公开报价。</w:t>
      </w:r>
      <w:r>
        <w:rPr>
          <w:rFonts w:hint="eastAsia" w:ascii="宋体" w:hAnsi="宋体" w:cs="宋体"/>
          <w:sz w:val="24"/>
        </w:rPr>
      </w:r>
      <w:r/>
    </w:p>
    <w:p>
      <w:pPr>
        <w:pStyle w:val="1270"/>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sz w:val="24"/>
        </w:rPr>
      </w:r>
      <w:r/>
    </w:p>
    <w:p>
      <w:pPr>
        <w:pStyle w:val="1270"/>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sz w:val="24"/>
        </w:rPr>
      </w:r>
      <w:r/>
    </w:p>
    <w:p>
      <w:pPr>
        <w:pStyle w:val="1270"/>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17.7.如果在采购活动过程中出现以下情形，导致“</w:t>
      </w:r>
      <w:r>
        <w:rPr>
          <w:rFonts w:hint="eastAsia" w:ascii="宋体" w:hAnsi="宋体" w:cs="宋体"/>
          <w:sz w:val="24"/>
          <w:lang w:bidi="ar"/>
        </w:rPr>
        <w:t xml:space="preserve">苏采云政府采购一体化平台</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270"/>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rPr>
          <w:rFonts w:hint="eastAsia" w:ascii="宋体" w:hAnsi="宋体" w:cs="宋体"/>
          <w:sz w:val="24"/>
        </w:rPr>
      </w:r>
      <w:r/>
    </w:p>
    <w:p>
      <w:pPr>
        <w:pStyle w:val="1270"/>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270"/>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270"/>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270"/>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270"/>
        <w:ind w:firstLine="480"/>
        <w:spacing w:line="360" w:lineRule="auto"/>
        <w:tabs>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270"/>
        <w:spacing w:line="360" w:lineRule="auto"/>
        <w:tabs>
          <w:tab w:val="left" w:pos="360" w:leader="none"/>
        </w:tabs>
        <w:rPr>
          <w:rFonts w:hint="eastAsia" w:ascii="宋体" w:hAnsi="宋体" w:cs="宋体"/>
          <w:sz w:val="24"/>
        </w:rPr>
        <w:outlineLvl w:val="1"/>
      </w:pPr>
      <w:r/>
      <w:bookmarkEnd w:id="476"/>
      <w:r>
        <w:rPr>
          <w:rFonts w:hint="eastAsia" w:ascii="宋体" w:hAnsi="宋体" w:cs="宋体"/>
          <w:sz w:val="24"/>
        </w:rPr>
        <w:t xml:space="preserve">18、磋商小组</w:t>
      </w:r>
      <w:r>
        <w:rPr>
          <w:rFonts w:hint="eastAsia" w:ascii="宋体" w:hAnsi="宋体" w:cs="宋体"/>
          <w:sz w:val="24"/>
        </w:rPr>
      </w:r>
      <w:r/>
    </w:p>
    <w:p>
      <w:pPr>
        <w:pStyle w:val="1270"/>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18.1.磋商小组根据政府采购有关规定和本次采购项目的特点进行组建，并负责具体评审事务，独立履行职责。</w:t>
      </w:r>
      <w:bookmarkStart w:id="477" w:name="_Toc520356166"/>
      <w:r>
        <w:rPr>
          <w:rFonts w:hint="eastAsia" w:ascii="宋体" w:hAnsi="宋体" w:cs="宋体"/>
          <w:sz w:val="24"/>
        </w:rPr>
      </w:r>
      <w:r/>
    </w:p>
    <w:p>
      <w:pPr>
        <w:pStyle w:val="1270"/>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18.2.评审专家须符合相关规定。依法自行选定评审专家的，采购人和采购代理机构将查询有关信用记录，对具有行贿、受贿、欺诈等不良信用记录的人员，拒绝其参与政府采购活动。</w:t>
      </w:r>
      <w:bookmarkEnd w:id="477"/>
      <w:r>
        <w:rPr>
          <w:rFonts w:hint="eastAsia" w:ascii="宋体" w:hAnsi="宋体" w:cs="宋体"/>
          <w:sz w:val="24"/>
        </w:rPr>
      </w:r>
      <w:r/>
    </w:p>
    <w:p>
      <w:pPr>
        <w:pStyle w:val="127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19、评审方法和评审标准</w:t>
      </w:r>
      <w:r>
        <w:rPr>
          <w:rFonts w:hint="eastAsia" w:ascii="宋体" w:hAnsi="宋体" w:cs="宋体"/>
          <w:sz w:val="24"/>
        </w:rPr>
      </w:r>
      <w:r/>
    </w:p>
    <w:p>
      <w:pPr>
        <w:pStyle w:val="1270"/>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19.1.见第三章《评审方法和评审标准》。</w:t>
      </w:r>
      <w:r>
        <w:rPr>
          <w:rFonts w:hint="eastAsia" w:ascii="宋体" w:hAnsi="宋体" w:cs="宋体"/>
          <w:sz w:val="24"/>
        </w:rPr>
      </w:r>
      <w:r/>
    </w:p>
    <w:p>
      <w:pPr>
        <w:pStyle w:val="1469"/>
        <w:spacing w:before="0" w:line="440" w:lineRule="exact"/>
        <w:rPr>
          <w:rFonts w:hint="eastAsia" w:ascii="宋体" w:hAnsi="宋体" w:eastAsia="宋体" w:cs="宋体"/>
          <w:sz w:val="28"/>
        </w:rPr>
      </w:pPr>
      <w:r>
        <w:rPr>
          <w:rFonts w:hint="eastAsia" w:ascii="宋体" w:hAnsi="宋体" w:eastAsia="宋体" w:cs="宋体"/>
          <w:sz w:val="28"/>
        </w:rPr>
        <w:t xml:space="preserve">六   </w:t>
      </w:r>
      <w:bookmarkEnd w:id="461"/>
      <w:r>
        <w:rPr>
          <w:rFonts w:hint="eastAsia" w:ascii="宋体" w:hAnsi="宋体" w:eastAsia="宋体" w:cs="宋体"/>
          <w:sz w:val="28"/>
        </w:rPr>
        <w:t xml:space="preserve">确定</w:t>
      </w:r>
      <w:bookmarkEnd w:id="454"/>
      <w:r/>
      <w:bookmarkEnd w:id="455"/>
      <w:r/>
      <w:bookmarkEnd w:id="456"/>
      <w:r/>
      <w:bookmarkEnd w:id="457"/>
      <w:r/>
      <w:bookmarkEnd w:id="458"/>
      <w:r/>
      <w:bookmarkEnd w:id="459"/>
      <w:r/>
      <w:bookmarkEnd w:id="460"/>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eastAsia="宋体" w:cs="宋体"/>
          <w:sz w:val="28"/>
        </w:rPr>
        <w:t xml:space="preserve">成交</w:t>
      </w:r>
      <w:r>
        <w:rPr>
          <w:rFonts w:hint="eastAsia" w:ascii="宋体" w:hAnsi="宋体" w:eastAsia="宋体" w:cs="宋体"/>
          <w:sz w:val="28"/>
        </w:rPr>
      </w:r>
      <w:r/>
    </w:p>
    <w:p>
      <w:pPr>
        <w:pStyle w:val="1270"/>
        <w:spacing w:line="440" w:lineRule="exact"/>
        <w:tabs>
          <w:tab w:val="left" w:pos="360" w:leader="none"/>
        </w:tabs>
        <w:rPr>
          <w:rFonts w:hint="eastAsia" w:ascii="宋体" w:hAnsi="宋体" w:cs="宋体"/>
          <w:sz w:val="24"/>
        </w:rPr>
        <w:outlineLvl w:val="1"/>
      </w:pPr>
      <w:r/>
      <w:bookmarkStart w:id="478" w:name="_Toc164351641"/>
      <w:r/>
      <w:bookmarkStart w:id="479" w:name="_Toc164229242"/>
      <w:r/>
      <w:bookmarkStart w:id="480" w:name="_Toc226309791"/>
      <w:r/>
      <w:bookmarkStart w:id="481" w:name="_Toc226337243"/>
      <w:r/>
      <w:bookmarkStart w:id="482" w:name="_Toc150509298"/>
      <w:r/>
      <w:bookmarkStart w:id="483" w:name="_Toc305158815"/>
      <w:r/>
      <w:bookmarkStart w:id="484" w:name="_Toc226965737"/>
      <w:r/>
      <w:bookmarkStart w:id="485" w:name="_Toc151193935"/>
      <w:r/>
      <w:bookmarkStart w:id="486" w:name="_Toc305158889"/>
      <w:r/>
      <w:bookmarkStart w:id="487" w:name="_Toc164608661"/>
      <w:r/>
      <w:bookmarkStart w:id="488" w:name="_Toc164608816"/>
      <w:r/>
      <w:bookmarkStart w:id="489" w:name="_Toc150774647"/>
      <w:r/>
      <w:bookmarkStart w:id="490" w:name="_Toc151190174"/>
      <w:r/>
      <w:bookmarkStart w:id="491" w:name="_Toc150480785"/>
      <w:r/>
      <w:bookmarkStart w:id="492" w:name="_Toc226965820"/>
      <w:r/>
      <w:bookmarkStart w:id="493" w:name="_Toc150774752"/>
      <w:r/>
      <w:bookmarkStart w:id="494" w:name="_Toc151193789"/>
      <w:r/>
      <w:bookmarkStart w:id="495" w:name="_Toc164229388"/>
      <w:r/>
      <w:bookmarkStart w:id="496" w:name="_Toc142311049"/>
      <w:r/>
      <w:bookmarkStart w:id="497" w:name="_Toc151193861"/>
      <w:r/>
      <w:bookmarkStart w:id="498" w:name="_Toc127151547"/>
      <w:r/>
      <w:bookmarkStart w:id="499" w:name="_Toc151193717"/>
      <w:r/>
      <w:bookmarkStart w:id="500" w:name="_Toc151193645"/>
      <w:r/>
      <w:bookmarkStart w:id="501" w:name="_Toc264969237"/>
      <w:r/>
      <w:bookmarkStart w:id="502" w:name="_Toc195842912"/>
      <w:r/>
      <w:bookmarkStart w:id="503" w:name="_Toc127161461"/>
      <w:r/>
      <w:bookmarkStart w:id="504" w:name="_Toc265228385"/>
      <w:r/>
      <w:bookmarkStart w:id="505" w:name="_Toc149720840"/>
      <w:r/>
      <w:bookmarkStart w:id="506" w:name="_Toc127151748"/>
      <w:r>
        <w:rPr>
          <w:rFonts w:hint="eastAsia" w:ascii="宋体" w:hAnsi="宋体" w:cs="宋体"/>
          <w:sz w:val="24"/>
        </w:rPr>
        <w:t xml:space="preserve">20、确定成交供应商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20.1.采购人将在收到评审报告后，从评审报告提出的成交候选供应商中，按照排序由高到低的原则确定成交供应商。成交候选人并列的，由采购人依法确定。</w:t>
      </w:r>
      <w:r>
        <w:rPr>
          <w:rFonts w:hint="eastAsia" w:ascii="宋体" w:hAnsi="宋体" w:cs="宋体"/>
          <w:sz w:val="24"/>
        </w:rPr>
      </w:r>
      <w:r/>
    </w:p>
    <w:p>
      <w:pPr>
        <w:pStyle w:val="1270"/>
        <w:spacing w:line="440" w:lineRule="exact"/>
        <w:tabs>
          <w:tab w:val="left" w:pos="360" w:leader="none"/>
        </w:tabs>
        <w:rPr>
          <w:rFonts w:hint="eastAsia" w:ascii="宋体" w:hAnsi="宋体" w:cs="宋体"/>
          <w:sz w:val="24"/>
        </w:rPr>
        <w:outlineLvl w:val="1"/>
      </w:pPr>
      <w:r/>
      <w:bookmarkStart w:id="507" w:name="_Toc151190176"/>
      <w:r/>
      <w:bookmarkStart w:id="508" w:name="_Toc150480787"/>
      <w:r/>
      <w:bookmarkStart w:id="509" w:name="_Toc151193719"/>
      <w:r/>
      <w:bookmarkStart w:id="510" w:name="_Ref467307090"/>
      <w:r/>
      <w:bookmarkStart w:id="511" w:name="_Toc520356176"/>
      <w:r/>
      <w:bookmarkStart w:id="512" w:name="_Ref467306425"/>
      <w:r/>
      <w:bookmarkStart w:id="513" w:name="_Toc164351643"/>
      <w:r/>
      <w:bookmarkStart w:id="514" w:name="_Toc164608818"/>
      <w:r/>
      <w:bookmarkStart w:id="515" w:name="_Toc164229244"/>
      <w:r/>
      <w:bookmarkStart w:id="516" w:name="_Toc150774649"/>
      <w:r/>
      <w:bookmarkStart w:id="517" w:name="_Toc151193937"/>
      <w:r/>
      <w:bookmarkStart w:id="518" w:name="_Toc226309793"/>
      <w:r/>
      <w:bookmarkStart w:id="519" w:name="_Toc142311051"/>
      <w:r/>
      <w:bookmarkStart w:id="520" w:name="_Toc150774754"/>
      <w:r/>
      <w:bookmarkStart w:id="521" w:name="_Toc127151549"/>
      <w:r/>
      <w:bookmarkStart w:id="522" w:name="_Toc151193647"/>
      <w:r/>
      <w:bookmarkStart w:id="523" w:name="_Toc195842914"/>
      <w:r/>
      <w:bookmarkStart w:id="524" w:name="_Toc226337245"/>
      <w:r/>
      <w:bookmarkStart w:id="525" w:name="_Toc265228387"/>
      <w:r/>
      <w:bookmarkStart w:id="526" w:name="_Toc305158817"/>
      <w:r/>
      <w:bookmarkStart w:id="527" w:name="_Toc305158891"/>
      <w:r/>
      <w:bookmarkStart w:id="528" w:name="_Toc127151750"/>
      <w:r/>
      <w:bookmarkStart w:id="529" w:name="_Toc151193863"/>
      <w:r/>
      <w:bookmarkStart w:id="530" w:name="_Toc150509300"/>
      <w:r/>
      <w:bookmarkStart w:id="531" w:name="_Toc127161463"/>
      <w:r/>
      <w:bookmarkStart w:id="532" w:name="_Toc149720842"/>
      <w:r/>
      <w:bookmarkStart w:id="533" w:name="_Toc226965822"/>
      <w:r/>
      <w:bookmarkStart w:id="534" w:name="_Toc264969239"/>
      <w:r/>
      <w:bookmarkStart w:id="535" w:name="_Toc164608663"/>
      <w:r/>
      <w:bookmarkStart w:id="536" w:name="_Toc151193791"/>
      <w:r/>
      <w:bookmarkStart w:id="537" w:name="_Toc164229390"/>
      <w:r/>
      <w:bookmarkStart w:id="538" w:name="_Toc226965739"/>
      <w:r>
        <w:rPr>
          <w:rFonts w:hint="eastAsia" w:ascii="宋体" w:hAnsi="宋体" w:cs="宋体"/>
          <w:sz w:val="24"/>
        </w:rPr>
        <w:t xml:space="preserve">21、成交公告与成交通知书</w:t>
      </w:r>
      <w:bookmarkEnd w:id="526"/>
      <w:r/>
      <w:bookmarkEnd w:id="527"/>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21.1.采购人或采购代理机构将在成交供应商确定后2个工作日内，在常州市政府采购网公告成交结果，同时向成交供应商发出成交通知书，成交公告期限为1个工作日。</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21.2.成交通知书是合同的组成部分，对采购人和成交供应商具有同等法律效力。成交通知书发出后，采购人改变成交结果的，或者成交供应商放弃成交项目的，将依法承担法律责任。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sz w:val="24"/>
        </w:rPr>
      </w:r>
      <w:r/>
    </w:p>
    <w:p>
      <w:pPr>
        <w:pStyle w:val="1270"/>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22、终止</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22.1.在采购中，出现下列情形之一的，采购人或采购代理机构将终止竞争性磋商采购活动，发布项目终止公告并说明原因，重新开展采购活动：</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22.1.1.因情况变化，不再符合规定的竞争性磋商采购方式适用情形的；</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22.1.2.出现影响采购公正的违法、违规行为的；</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szCs w:val="20"/>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270"/>
        <w:spacing w:line="440" w:lineRule="exact"/>
        <w:tabs>
          <w:tab w:val="left" w:pos="360" w:leader="none"/>
        </w:tabs>
        <w:rPr>
          <w:rFonts w:hint="eastAsia" w:ascii="宋体" w:hAnsi="宋体" w:cs="宋体"/>
          <w:sz w:val="24"/>
        </w:rPr>
        <w:outlineLvl w:val="1"/>
      </w:pPr>
      <w:r/>
      <w:bookmarkEnd w:id="507"/>
      <w:r/>
      <w:bookmarkEnd w:id="508"/>
      <w:r/>
      <w:bookmarkEnd w:id="509"/>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8"/>
      <w:r/>
      <w:bookmarkEnd w:id="529"/>
      <w:r/>
      <w:bookmarkEnd w:id="530"/>
      <w:r/>
      <w:bookmarkEnd w:id="531"/>
      <w:r/>
      <w:bookmarkEnd w:id="532"/>
      <w:r/>
      <w:bookmarkEnd w:id="533"/>
      <w:r/>
      <w:bookmarkEnd w:id="534"/>
      <w:r/>
      <w:bookmarkEnd w:id="535"/>
      <w:r/>
      <w:bookmarkEnd w:id="536"/>
      <w:r/>
      <w:bookmarkEnd w:id="537"/>
      <w:r/>
      <w:bookmarkEnd w:id="538"/>
      <w:r/>
      <w:bookmarkStart w:id="539" w:name="_Toc164229245"/>
      <w:r/>
      <w:bookmarkStart w:id="540" w:name="_Ref467306978"/>
      <w:r/>
      <w:bookmarkStart w:id="541" w:name="_Toc226337246"/>
      <w:r/>
      <w:bookmarkStart w:id="542" w:name="_Toc127151550"/>
      <w:r/>
      <w:bookmarkStart w:id="543" w:name="_Toc142311052"/>
      <w:r/>
      <w:bookmarkStart w:id="544" w:name="_Toc151193792"/>
      <w:r/>
      <w:bookmarkStart w:id="545" w:name="_Toc127161464"/>
      <w:r/>
      <w:bookmarkStart w:id="546" w:name="_Toc305158892"/>
      <w:r/>
      <w:bookmarkStart w:id="547" w:name="_Toc195842915"/>
      <w:r/>
      <w:bookmarkStart w:id="548" w:name="_Ref467306377"/>
      <w:r/>
      <w:bookmarkStart w:id="549" w:name="_Toc127151751"/>
      <w:r/>
      <w:bookmarkStart w:id="550" w:name="_Toc164351644"/>
      <w:r/>
      <w:bookmarkStart w:id="551" w:name="_Toc264969240"/>
      <w:r/>
      <w:bookmarkStart w:id="552" w:name="_Toc149720843"/>
      <w:r/>
      <w:bookmarkStart w:id="553" w:name="_Ref467307062"/>
      <w:r/>
      <w:bookmarkStart w:id="554" w:name="_Toc150509301"/>
      <w:r/>
      <w:bookmarkStart w:id="555" w:name="_Toc226309794"/>
      <w:r/>
      <w:bookmarkStart w:id="556" w:name="_Toc164608664"/>
      <w:r/>
      <w:bookmarkStart w:id="557" w:name="_Toc226965740"/>
      <w:r/>
      <w:bookmarkStart w:id="558" w:name="_Toc150774650"/>
      <w:r/>
      <w:bookmarkStart w:id="559" w:name="_Toc520356175"/>
      <w:r/>
      <w:bookmarkStart w:id="560" w:name="_Toc151193648"/>
      <w:r/>
      <w:bookmarkStart w:id="561" w:name="_Toc150774755"/>
      <w:r/>
      <w:bookmarkStart w:id="562" w:name="_Toc151193864"/>
      <w:r/>
      <w:bookmarkStart w:id="563" w:name="_Toc151190177"/>
      <w:r/>
      <w:bookmarkStart w:id="564" w:name="_Toc164608819"/>
      <w:r/>
      <w:bookmarkStart w:id="565" w:name="_Toc226965823"/>
      <w:r/>
      <w:bookmarkStart w:id="566" w:name="_Toc265228388"/>
      <w:r/>
      <w:bookmarkStart w:id="567" w:name="_Toc305158818"/>
      <w:r/>
      <w:bookmarkStart w:id="568" w:name="_Toc151193938"/>
      <w:r/>
      <w:bookmarkStart w:id="569" w:name="_Toc151193720"/>
      <w:r/>
      <w:bookmarkStart w:id="570" w:name="_Ref467307204"/>
      <w:r/>
      <w:bookmarkStart w:id="571" w:name="_Toc164229391"/>
      <w:r/>
      <w:bookmarkStart w:id="572" w:name="_Toc150480788"/>
      <w:r>
        <w:rPr>
          <w:rFonts w:hint="eastAsia" w:ascii="宋体" w:hAnsi="宋体" w:cs="宋体"/>
          <w:sz w:val="24"/>
        </w:rPr>
        <w:t xml:space="preserve">23、签订合同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23.1.采购人与成交供应商将在成交通知书发出之日起30日内，按照磋商文件确定的合同文本以及采购标的、规格型号、采购金额、采购数量、技术和服务要求等事项签订政府采购合同。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23.3.联合体获得成交资格的，联合体各方应当共同与采购人签订合同，就成交项目向采购人承担连带责任。</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23.4.政府采购合同不能转包。</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rPr>
          <w:rFonts w:hint="eastAsia" w:ascii="宋体" w:hAnsi="宋体" w:cs="宋体"/>
          <w:sz w:val="24"/>
        </w:rPr>
      </w:r>
      <w:r/>
    </w:p>
    <w:p>
      <w:pPr>
        <w:pStyle w:val="1270"/>
        <w:spacing w:line="440" w:lineRule="exact"/>
        <w:tabs>
          <w:tab w:val="left" w:pos="360" w:leader="none"/>
        </w:tabs>
        <w:rPr>
          <w:rFonts w:hint="eastAsia" w:ascii="宋体" w:hAnsi="宋体" w:cs="宋体"/>
          <w:sz w:val="24"/>
        </w:rPr>
        <w:outlineLvl w:val="1"/>
      </w:pPr>
      <w:r/>
      <w:bookmarkEnd w:id="510"/>
      <w:r/>
      <w:bookmarkEnd w:id="511"/>
      <w:r/>
      <w:bookmarkEnd w:id="512"/>
      <w:r>
        <w:rPr>
          <w:rFonts w:hint="eastAsia" w:ascii="宋体" w:hAnsi="宋体" w:cs="宋体"/>
          <w:sz w:val="24"/>
        </w:rPr>
        <w:t xml:space="preserve">24、询问与质疑</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24.1.询问</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24.1.1.供应商对政府采购活动事项有疑问的，可依法提出询问，并按《供应商须知资料表》载明的形式送达采购人或采购代理机构。</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24.1.2.采购人或采购代理机构对供应商依法提出的询问，在3个工作日内作出答复，但答复的内容不得涉及商业秘密。</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24.2.质疑</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sz w:val="24"/>
        </w:rPr>
      </w:r>
      <w:r/>
    </w:p>
    <w:p>
      <w:pPr>
        <w:pStyle w:val="1270"/>
        <w:ind w:firstLine="723"/>
        <w:spacing w:line="440" w:lineRule="exact"/>
        <w:rPr>
          <w:rFonts w:hint="eastAsia" w:ascii="宋体" w:hAnsi="宋体" w:cs="宋体"/>
          <w:sz w:val="24"/>
        </w:rPr>
      </w:pPr>
      <w:r>
        <w:rPr>
          <w:rFonts w:hint="eastAsia" w:ascii="宋体" w:hAnsi="宋体" w:cs="宋体"/>
          <w:b/>
          <w:sz w:val="24"/>
        </w:rPr>
        <w:t xml:space="preserve">24.2.2.磋商文件中采购需求以及相关部分（第四章、第五章以及供应商资格要求）由采购人负责制定和管理，对该部分内容有询问或者质疑的，供应商应当向采购人书面提出，由采购人负责接收和回复。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270"/>
        <w:ind w:firstLine="720"/>
        <w:spacing w:line="440" w:lineRule="exact"/>
        <w:rPr>
          <w:rFonts w:hint="eastAsia" w:ascii="宋体" w:hAnsi="宋体" w:cs="宋体"/>
          <w:color w:val="000000"/>
          <w:sz w:val="24"/>
        </w:rPr>
      </w:pPr>
      <w:r>
        <w:rPr>
          <w:rFonts w:hint="eastAsia" w:ascii="宋体" w:hAnsi="宋体" w:cs="宋体"/>
          <w:color w:val="000000"/>
          <w:sz w:val="24"/>
        </w:rPr>
        <w:t xml:space="preserve">24.2.3.质疑函须使用财政部制定的范本文件。（下载网址：</w:t>
      </w:r>
      <w:r>
        <w:rPr>
          <w:rFonts w:hint="eastAsia" w:ascii="宋体" w:hAnsi="宋体" w:cs="宋体"/>
          <w:color w:val="000000"/>
          <w:sz w:val="24"/>
        </w:rPr>
        <w:fldChar w:fldCharType="begin"/>
      </w:r>
      <w:r>
        <w:rPr>
          <w:rFonts w:hint="eastAsia" w:ascii="宋体" w:hAnsi="宋体" w:cs="宋体"/>
          <w:color w:val="000000"/>
          <w:sz w:val="24"/>
        </w:rPr>
        <w:instrText xml:space="preserve"> HYPERLINK "http://gks.mof.gov.cn/ztztz/zhengfucaigouguanli/201802/t20180201_2804589.htm" </w:instrText>
      </w:r>
      <w:r>
        <w:rPr>
          <w:rFonts w:hint="eastAsia" w:ascii="宋体" w:hAnsi="宋体" w:cs="宋体"/>
          <w:color w:val="000000"/>
          <w:sz w:val="24"/>
        </w:rPr>
        <w:fldChar w:fldCharType="separate"/>
      </w:r>
      <w:r>
        <w:rPr>
          <w:rStyle w:val="1536"/>
          <w:rFonts w:hint="eastAsia" w:ascii="宋体" w:hAnsi="宋体" w:cs="宋体"/>
          <w:color w:val="000000"/>
          <w:sz w:val="24"/>
        </w:rPr>
        <w:t xml:space="preserve">http://gk</w:t>
      </w:r>
      <w:bookmarkStart w:id="573" w:name="_Hlt100654014"/>
      <w:r>
        <w:rPr>
          <w:rStyle w:val="1536"/>
          <w:rFonts w:hint="eastAsia" w:ascii="宋体" w:hAnsi="宋体" w:cs="宋体"/>
          <w:color w:val="000000"/>
          <w:sz w:val="24"/>
        </w:rPr>
        <w:t xml:space="preserve">s</w:t>
      </w:r>
      <w:bookmarkEnd w:id="573"/>
      <w:r>
        <w:rPr>
          <w:rStyle w:val="1536"/>
          <w:rFonts w:hint="eastAsia" w:ascii="宋体" w:hAnsi="宋体" w:cs="宋体"/>
          <w:color w:val="000000"/>
          <w:sz w:val="24"/>
        </w:rPr>
        <w:t xml:space="preserve">.m</w:t>
      </w:r>
      <w:bookmarkStart w:id="574" w:name="_Hlt100653994"/>
      <w:r/>
      <w:bookmarkStart w:id="575" w:name="_Hlt100653993"/>
      <w:r>
        <w:rPr>
          <w:rStyle w:val="1536"/>
          <w:rFonts w:hint="eastAsia" w:ascii="宋体" w:hAnsi="宋体" w:cs="宋体"/>
          <w:color w:val="000000"/>
          <w:sz w:val="24"/>
        </w:rPr>
        <w:t xml:space="preserve">o</w:t>
      </w:r>
      <w:bookmarkEnd w:id="574"/>
      <w:r/>
      <w:bookmarkEnd w:id="575"/>
      <w:r/>
      <w:bookmarkStart w:id="576" w:name="_Hlt101169156"/>
      <w:r>
        <w:rPr>
          <w:rStyle w:val="1536"/>
          <w:rFonts w:hint="eastAsia" w:ascii="宋体" w:hAnsi="宋体" w:cs="宋体"/>
          <w:color w:val="000000"/>
          <w:sz w:val="24"/>
        </w:rPr>
        <w:t xml:space="preserve">f</w:t>
      </w:r>
      <w:bookmarkEnd w:id="576"/>
      <w:r>
        <w:rPr>
          <w:rStyle w:val="1536"/>
          <w:rFonts w:hint="eastAsia" w:ascii="宋体" w:hAnsi="宋体" w:cs="宋体"/>
          <w:color w:val="000000"/>
          <w:sz w:val="24"/>
        </w:rPr>
        <w:t xml:space="preserve">.gov.cn/ztztz/zhengfucaigouguanli/201802/t20180201_2804589.htm</w:t>
      </w:r>
      <w:r>
        <w:rPr>
          <w:rFonts w:hint="eastAsia" w:ascii="宋体" w:hAnsi="宋体" w:cs="宋体"/>
          <w:color w:val="000000"/>
          <w:sz w:val="24"/>
        </w:rPr>
        <w:fldChar w:fldCharType="end"/>
      </w:r>
      <w:r>
        <w:rPr>
          <w:rFonts w:hint="eastAsia" w:ascii="宋体" w:hAnsi="宋体" w:cs="宋体"/>
          <w:color w:val="000000"/>
          <w:sz w:val="24"/>
        </w:rPr>
        <w:t xml:space="preserve">）</w:t>
      </w:r>
      <w:r>
        <w:rPr>
          <w:rFonts w:hint="eastAsia" w:ascii="宋体" w:hAnsi="宋体" w:cs="宋体"/>
          <w:color w:val="000000"/>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24.2.4.供应商为自然人的，应当由本人签字；供应商为法人或者其他组织的，应当由法定代表人、主要负责人，或者其授权代表签字或者盖章，并加盖公章。</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24.2.5.供应商应在法定质疑期内一次性提出针对同一采购程序环节的质疑，法定质疑期内针对同一采购程序环节再次提出的质疑，采购人、采购代理机构有权不予答复。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24.3.接收询问和质疑的联系部门、联系电话和通讯地址见《供应商须知资料表》。</w:t>
      </w:r>
      <w:r>
        <w:rPr>
          <w:rFonts w:hint="eastAsia" w:ascii="宋体" w:hAnsi="宋体" w:cs="宋体"/>
          <w:sz w:val="24"/>
        </w:rPr>
      </w:r>
      <w:r/>
    </w:p>
    <w:p>
      <w:pPr>
        <w:pStyle w:val="1270"/>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25、代理费</w:t>
      </w:r>
      <w:r>
        <w:rPr>
          <w:rFonts w:hint="eastAsia" w:ascii="宋体" w:hAnsi="宋体" w:cs="宋体"/>
          <w:sz w:val="24"/>
        </w:rPr>
      </w:r>
      <w:r/>
    </w:p>
    <w:p>
      <w:pPr>
        <w:pStyle w:val="1270"/>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25.1.收费对象、收费标准及缴纳时间见《供应商须知资料表》。由成交供应商支付的，成交供应商须一次性向采购代理机构缴纳代理费，报价应包含代理费用。</w:t>
      </w:r>
      <w:bookmarkStart w:id="577" w:name="_Toc226965827"/>
      <w:r/>
      <w:bookmarkStart w:id="578" w:name="_Toc265228392"/>
      <w:r/>
      <w:bookmarkStart w:id="579" w:name="_Toc127151554"/>
      <w:r/>
      <w:bookmarkStart w:id="580" w:name="_Toc353873934"/>
      <w:r/>
      <w:bookmarkStart w:id="581" w:name="_Toc150480792"/>
      <w:r/>
      <w:bookmarkStart w:id="582" w:name="_Toc305158896"/>
      <w:r/>
      <w:bookmarkStart w:id="583" w:name="_Toc150774759"/>
      <w:r/>
      <w:bookmarkStart w:id="584" w:name="_Toc264969244"/>
      <w:r/>
      <w:bookmarkStart w:id="585" w:name="_Toc305158822"/>
      <w:r/>
      <w:bookmarkStart w:id="586" w:name="_Toc226337250"/>
      <w:r/>
      <w:bookmarkStart w:id="587" w:name="_Toc353873664"/>
      <w:r/>
      <w:bookmarkStart w:id="588" w:name="_Toc353825544"/>
      <w:r/>
      <w:bookmarkStart w:id="589" w:name="_Toc142311056"/>
      <w:r>
        <w:rPr>
          <w:rFonts w:hint="eastAsia" w:ascii="宋体" w:hAnsi="宋体" w:cs="宋体"/>
          <w:sz w:val="24"/>
        </w:rPr>
      </w:r>
      <w:r/>
    </w:p>
    <w:p>
      <w:pPr>
        <w:pStyle w:val="1270"/>
        <w:numPr>
          <w:ilvl w:val="1"/>
          <w:numId w:val="9"/>
        </w:numPr>
        <w:ind w:left="1077" w:hanging="720"/>
        <w:spacing w:line="440" w:lineRule="exact"/>
        <w:tabs>
          <w:tab w:val="left" w:pos="1080" w:leader="none"/>
          <w:tab w:val="left" w:pos="1589" w:leader="none"/>
          <w:tab w:val="left" w:pos="2014" w:leader="none"/>
        </w:tabs>
        <w:rPr>
          <w:rFonts w:hint="eastAsia" w:ascii="宋体" w:hAnsi="宋体" w:cs="宋体"/>
          <w:sz w:val="24"/>
        </w:rPr>
        <w:sectPr>
          <w:headerReference w:type="default" r:id="rId11"/>
          <w:footerReference w:type="default" r:id="rId19"/>
          <w:footerReference w:type="even" r:id="rId20"/>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sz w:val="24"/>
        </w:rPr>
      </w:r>
      <w:r/>
    </w:p>
    <w:p>
      <w:pPr>
        <w:pStyle w:val="1270"/>
        <w:jc w:val="center"/>
        <w:spacing w:line="440" w:lineRule="exact"/>
        <w:rPr>
          <w:rFonts w:hint="eastAsia" w:ascii="宋体" w:hAnsi="宋体" w:cs="宋体"/>
          <w:b/>
          <w:sz w:val="36"/>
          <w:szCs w:val="36"/>
        </w:rPr>
        <w:outlineLvl w:val="0"/>
      </w:pPr>
      <w:r/>
      <w:bookmarkStart w:id="590" w:name="_Toc104818927"/>
      <w:r>
        <w:rPr>
          <w:rFonts w:hint="eastAsia" w:ascii="宋体" w:hAnsi="宋体" w:cs="宋体"/>
          <w:b/>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hint="eastAsia" w:ascii="宋体" w:hAnsi="宋体" w:cs="宋体"/>
          <w:b/>
          <w:sz w:val="36"/>
          <w:szCs w:val="36"/>
        </w:rPr>
        <w:t xml:space="preserve">评审程序、评审方法和评审标准</w:t>
      </w:r>
      <w:bookmarkEnd w:id="590"/>
      <w:r/>
      <w:bookmarkStart w:id="591" w:name="_Toc487900382"/>
      <w:r>
        <w:rPr>
          <w:rFonts w:hint="eastAsia" w:ascii="宋体" w:hAnsi="宋体" w:cs="宋体"/>
          <w:b/>
          <w:sz w:val="36"/>
          <w:szCs w:val="36"/>
        </w:rPr>
      </w:r>
      <w:r/>
    </w:p>
    <w:p>
      <w:pPr>
        <w:pStyle w:val="1469"/>
        <w:spacing w:before="0" w:line="440" w:lineRule="exact"/>
        <w:rPr>
          <w:rFonts w:hint="eastAsia" w:ascii="宋体" w:hAnsi="宋体" w:eastAsia="宋体" w:cs="宋体"/>
          <w:sz w:val="28"/>
          <w:szCs w:val="28"/>
        </w:rPr>
      </w:pPr>
      <w:r>
        <w:rPr>
          <w:rFonts w:hint="eastAsia" w:ascii="宋体" w:hAnsi="宋体" w:eastAsia="宋体" w:cs="宋体"/>
          <w:sz w:val="28"/>
          <w:szCs w:val="28"/>
        </w:rPr>
        <w:t xml:space="preserve">一、评审程序</w:t>
      </w:r>
      <w:r>
        <w:rPr>
          <w:rFonts w:hint="eastAsia" w:ascii="宋体" w:hAnsi="宋体" w:eastAsia="宋体" w:cs="宋体"/>
          <w:sz w:val="28"/>
          <w:szCs w:val="28"/>
        </w:rPr>
      </w:r>
      <w:r/>
    </w:p>
    <w:p>
      <w:pPr>
        <w:pStyle w:val="1482"/>
        <w:rPr>
          <w:rFonts w:hint="eastAsia"/>
        </w:rPr>
      </w:pPr>
      <w:r>
        <w:rPr>
          <w:rFonts w:hint="eastAsia"/>
        </w:rPr>
      </w:r>
      <w:r/>
    </w:p>
    <w:p>
      <w:pPr>
        <w:pStyle w:val="1270"/>
        <w:spacing w:line="440" w:lineRule="exact"/>
        <w:tabs>
          <w:tab w:val="left" w:pos="360" w:leader="none"/>
        </w:tabs>
        <w:rPr>
          <w:rFonts w:hint="eastAsia" w:ascii="宋体" w:hAnsi="宋体" w:cs="宋体"/>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226965814"/>
      <w:r/>
      <w:bookmarkStart w:id="593" w:name="_Toc265228379"/>
      <w:r/>
      <w:bookmarkStart w:id="594" w:name="_Toc151193783"/>
      <w:r/>
      <w:bookmarkStart w:id="595" w:name="_Toc151193711"/>
      <w:r/>
      <w:bookmarkStart w:id="596" w:name="_Toc226965731"/>
      <w:r/>
      <w:bookmarkStart w:id="597" w:name="_Toc127161455"/>
      <w:r/>
      <w:bookmarkStart w:id="598" w:name="_Toc151193929"/>
      <w:r/>
      <w:bookmarkStart w:id="599" w:name="_Toc127151541"/>
      <w:r/>
      <w:bookmarkStart w:id="600" w:name="_Toc164608655"/>
      <w:r/>
      <w:bookmarkStart w:id="601" w:name="_Toc226309785"/>
      <w:r/>
      <w:bookmarkStart w:id="602" w:name="_Toc151193855"/>
      <w:r/>
      <w:bookmarkStart w:id="603" w:name="_Toc164608810"/>
      <w:r/>
      <w:bookmarkStart w:id="604" w:name="_Toc164351635"/>
      <w:r/>
      <w:bookmarkStart w:id="605" w:name="_Toc305158883"/>
      <w:r/>
      <w:bookmarkStart w:id="606" w:name="_Toc150480779"/>
      <w:r/>
      <w:bookmarkStart w:id="607" w:name="_Toc150509292"/>
      <w:r/>
      <w:bookmarkStart w:id="608" w:name="_Toc149720834"/>
      <w:r/>
      <w:bookmarkStart w:id="609" w:name="_Toc151190168"/>
      <w:r/>
      <w:bookmarkStart w:id="610" w:name="_Toc305158809"/>
      <w:r/>
      <w:bookmarkStart w:id="611" w:name="_Toc150774746"/>
      <w:r/>
      <w:bookmarkStart w:id="612" w:name="_Toc164229382"/>
      <w:r/>
      <w:bookmarkStart w:id="613" w:name="_Toc226337237"/>
      <w:r/>
      <w:bookmarkStart w:id="614" w:name="_Toc195842906"/>
      <w:r/>
      <w:bookmarkStart w:id="615" w:name="_Toc151193639"/>
      <w:r/>
      <w:bookmarkStart w:id="616" w:name="_Toc164229236"/>
      <w:r/>
      <w:bookmarkStart w:id="617" w:name="_Toc264969231"/>
      <w:r/>
      <w:bookmarkStart w:id="618" w:name="_Toc142311043"/>
      <w:r/>
      <w:bookmarkStart w:id="619" w:name="_Toc127151742"/>
      <w:r/>
      <w:bookmarkStart w:id="620" w:name="_Toc150774641"/>
      <w:r/>
      <w:bookmarkStart w:id="621" w:name="_Toc353825551"/>
      <w:r/>
      <w:bookmarkStart w:id="622" w:name="_Toc353873941"/>
      <w:r/>
      <w:bookmarkStart w:id="623" w:name="_Toc305158823"/>
      <w:r/>
      <w:bookmarkStart w:id="624" w:name="_Toc150480793"/>
      <w:r/>
      <w:bookmarkStart w:id="625" w:name="_Toc353873935"/>
      <w:r/>
      <w:bookmarkStart w:id="626" w:name="_Toc226965828"/>
      <w:r/>
      <w:bookmarkStart w:id="627" w:name="_Toc353873665"/>
      <w:r/>
      <w:bookmarkStart w:id="628" w:name="_Toc264969245"/>
      <w:r/>
      <w:bookmarkStart w:id="629" w:name="_Toc226337251"/>
      <w:r/>
      <w:bookmarkStart w:id="630" w:name="_Toc353825545"/>
      <w:r/>
      <w:bookmarkStart w:id="631" w:name="_Toc127151555"/>
      <w:r/>
      <w:bookmarkStart w:id="632" w:name="_Toc195842920"/>
      <w:r/>
      <w:bookmarkStart w:id="633" w:name="_Toc150774760"/>
      <w:r/>
      <w:bookmarkStart w:id="634" w:name="_Toc265228393"/>
      <w:r/>
      <w:bookmarkStart w:id="635" w:name="_Toc142311057"/>
      <w:r/>
      <w:bookmarkStart w:id="636" w:name="_Toc305158897"/>
      <w:r>
        <w:rPr>
          <w:rFonts w:hint="eastAsia" w:ascii="宋体" w:hAnsi="宋体" w:cs="宋体"/>
          <w:sz w:val="24"/>
        </w:rPr>
        <w:t xml:space="preserve">1、响应文件的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hint="eastAsia" w:ascii="宋体" w:hAnsi="宋体" w:cs="宋体"/>
          <w:sz w:val="24"/>
        </w:rPr>
        <w:t xml:space="preserve">资格性检查和符合性审查</w:t>
      </w:r>
      <w:r>
        <w:rPr>
          <w:rFonts w:hint="eastAsia" w:ascii="宋体" w:hAnsi="宋体" w:cs="宋体"/>
          <w:sz w:val="24"/>
        </w:rPr>
      </w:r>
      <w:r/>
    </w:p>
    <w:p>
      <w:pPr>
        <w:pStyle w:val="1270"/>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rPr>
          <w:rFonts w:hint="eastAsia" w:ascii="宋体" w:hAnsi="宋体" w:cs="宋体"/>
          <w:sz w:val="24"/>
        </w:rPr>
      </w:r>
      <w:r/>
    </w:p>
    <w:p>
      <w:pPr>
        <w:pStyle w:val="1270"/>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1.2.《资格性检查要求》中对格式有要求的，除竞争性磋商文件另有规定外，均为“实质性格式”文件。</w:t>
      </w:r>
      <w:r>
        <w:rPr>
          <w:rFonts w:hint="eastAsia" w:ascii="宋体" w:hAnsi="宋体" w:cs="宋体"/>
          <w:sz w:val="24"/>
        </w:rPr>
      </w:r>
      <w:r/>
    </w:p>
    <w:p>
      <w:pPr>
        <w:pStyle w:val="1270"/>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1.3.《资格性检查要求》见下表：</w:t>
      </w:r>
      <w:r>
        <w:rPr>
          <w:rFonts w:hint="eastAsia" w:ascii="宋体" w:hAnsi="宋体" w:cs="宋体"/>
          <w:sz w:val="24"/>
        </w:rPr>
      </w:r>
      <w:r/>
    </w:p>
    <w:p>
      <w:pPr>
        <w:pStyle w:val="1270"/>
        <w:ind w:left="1077" w:firstLine="2650"/>
        <w:spacing w:line="440" w:lineRule="exact"/>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rPr>
          <w:rFonts w:hint="eastAsia" w:ascii="宋体" w:hAnsi="宋体" w:cs="宋体"/>
          <w:b/>
          <w:sz w:val="24"/>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693"/>
        <w:gridCol w:w="5569"/>
        <w:gridCol w:w="1624"/>
      </w:tblGrid>
      <w:tr>
        <w:trPr/>
        <w:tc>
          <w:tcPr>
            <w:tcW w:w="375" w:type="dxa"/>
            <w:vAlign w:val="center"/>
            <w:textDirection w:val="lrTb"/>
            <w:noWrap w:val="false"/>
          </w:tcPr>
          <w:p>
            <w:pPr>
              <w:pStyle w:val="1270"/>
              <w:jc w:val="center"/>
              <w:spacing w:line="440" w:lineRule="exact"/>
              <w:tabs>
                <w:tab w:val="left" w:pos="1080" w:leader="none"/>
              </w:tabs>
              <w:rPr>
                <w:rFonts w:hint="eastAsia" w:ascii="宋体" w:hAnsi="宋体" w:cs="宋体"/>
                <w:b/>
                <w:sz w:val="24"/>
              </w:rPr>
            </w:pPr>
            <w:r/>
            <w:bookmarkStart w:id="637" w:name="_Hlt487972895"/>
            <w:r/>
            <w:bookmarkEnd w:id="637"/>
            <w:r>
              <w:rPr>
                <w:rFonts w:hint="eastAsia" w:ascii="宋体" w:hAnsi="宋体" w:cs="宋体"/>
                <w:b/>
                <w:sz w:val="24"/>
              </w:rPr>
              <w:t xml:space="preserve">序号</w:t>
            </w:r>
            <w:r>
              <w:rPr>
                <w:rFonts w:hint="eastAsia" w:ascii="宋体" w:hAnsi="宋体" w:cs="宋体"/>
                <w:b/>
                <w:sz w:val="24"/>
              </w:rPr>
            </w:r>
            <w:r/>
          </w:p>
        </w:tc>
        <w:tc>
          <w:tcPr>
            <w:tcW w:w="1014" w:type="dxa"/>
            <w:vAlign w:val="center"/>
            <w:textDirection w:val="lrTb"/>
            <w:noWrap w:val="false"/>
          </w:tcPr>
          <w:p>
            <w:pPr>
              <w:pStyle w:val="1270"/>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637" w:type="dxa"/>
            <w:vAlign w:val="center"/>
            <w:textDirection w:val="lrTb"/>
            <w:noWrap w:val="false"/>
          </w:tcPr>
          <w:p>
            <w:pPr>
              <w:pStyle w:val="1270"/>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973" w:type="dxa"/>
            <w:vAlign w:val="center"/>
            <w:textDirection w:val="lrTb"/>
            <w:noWrap w:val="false"/>
          </w:tcPr>
          <w:p>
            <w:pPr>
              <w:pStyle w:val="1270"/>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tc>
          <w:tcPr>
            <w:tcW w:w="375" w:type="dxa"/>
            <w:vAlign w:val="center"/>
            <w:textDirection w:val="lrTb"/>
            <w:noWrap w:val="false"/>
          </w:tcPr>
          <w:p>
            <w:pPr>
              <w:pStyle w:val="1270"/>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14"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637"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具体规定见第一章《采购邀请》</w:t>
            </w:r>
            <w:r>
              <w:rPr>
                <w:rFonts w:hint="eastAsia" w:ascii="宋体" w:hAnsi="宋体" w:cs="宋体"/>
                <w:sz w:val="24"/>
              </w:rPr>
            </w:r>
            <w:r/>
          </w:p>
        </w:tc>
        <w:tc>
          <w:tcPr>
            <w:tcW w:w="973"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dxa"/>
            <w:vAlign w:val="center"/>
            <w:textDirection w:val="lrTb"/>
            <w:noWrap w:val="false"/>
          </w:tcPr>
          <w:p>
            <w:pPr>
              <w:pStyle w:val="1270"/>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14"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供应商资格声明函</w:t>
            </w:r>
            <w:r>
              <w:rPr>
                <w:rFonts w:hint="eastAsia" w:ascii="宋体" w:hAnsi="宋体" w:cs="宋体"/>
                <w:sz w:val="24"/>
              </w:rPr>
            </w:r>
            <w:r/>
          </w:p>
        </w:tc>
        <w:tc>
          <w:tcPr>
            <w:tcW w:w="2637"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rPr>
                <w:rFonts w:hint="eastAsia" w:ascii="宋体" w:hAnsi="宋体" w:cs="宋体"/>
                <w:sz w:val="24"/>
              </w:rPr>
            </w:r>
            <w:r/>
          </w:p>
        </w:tc>
        <w:tc>
          <w:tcPr>
            <w:tcW w:w="973"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tc>
          <w:tcPr>
            <w:tcW w:w="375" w:type="dxa"/>
            <w:vAlign w:val="center"/>
            <w:textDirection w:val="lrTb"/>
            <w:noWrap w:val="false"/>
          </w:tcPr>
          <w:p>
            <w:pPr>
              <w:pStyle w:val="1270"/>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14"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供应商信用记录</w:t>
            </w:r>
            <w:r>
              <w:rPr>
                <w:rFonts w:hint="eastAsia" w:ascii="宋体" w:hAnsi="宋体" w:cs="宋体"/>
                <w:sz w:val="24"/>
              </w:rPr>
            </w:r>
            <w:r/>
          </w:p>
        </w:tc>
        <w:tc>
          <w:tcPr>
            <w:tcW w:w="2637" w:type="dxa"/>
            <w:vAlign w:val="center"/>
            <w:textDirection w:val="lrTb"/>
            <w:noWrap w:val="false"/>
          </w:tcPr>
          <w:p>
            <w:pPr>
              <w:pStyle w:val="1270"/>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rPr>
                <w:rFonts w:hint="eastAsia" w:ascii="宋体" w:hAnsi="宋体" w:cs="宋体"/>
                <w:sz w:val="24"/>
              </w:rPr>
            </w:r>
            <w:r/>
          </w:p>
          <w:p>
            <w:pPr>
              <w:pStyle w:val="1270"/>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rPr>
                <w:rFonts w:hint="eastAsia" w:ascii="宋体" w:hAnsi="宋体" w:cs="宋体"/>
                <w:sz w:val="24"/>
              </w:rPr>
            </w:r>
            <w:r/>
          </w:p>
          <w:p>
            <w:pPr>
              <w:pStyle w:val="1270"/>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rPr>
                <w:rFonts w:hint="eastAsia" w:ascii="宋体" w:hAnsi="宋体" w:cs="宋体"/>
                <w:sz w:val="24"/>
              </w:rPr>
            </w:r>
            <w:r/>
          </w:p>
        </w:tc>
        <w:tc>
          <w:tcPr>
            <w:tcW w:w="973"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rPr>
                <w:rFonts w:hint="eastAsia" w:ascii="宋体" w:hAnsi="宋体" w:cs="宋体"/>
                <w:sz w:val="24"/>
              </w:rPr>
            </w:r>
            <w:r/>
          </w:p>
        </w:tc>
      </w:tr>
      <w:tr>
        <w:trPr/>
        <w:tc>
          <w:tcPr>
            <w:tcW w:w="375" w:type="dxa"/>
            <w:vAlign w:val="center"/>
            <w:textDirection w:val="lrTb"/>
            <w:noWrap w:val="false"/>
          </w:tcPr>
          <w:p>
            <w:pPr>
              <w:pStyle w:val="1270"/>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14"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637"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具体要求见第一章《采购邀请》</w:t>
            </w:r>
            <w:r>
              <w:rPr>
                <w:rFonts w:hint="eastAsia" w:ascii="宋体" w:hAnsi="宋体" w:cs="宋体"/>
                <w:sz w:val="24"/>
              </w:rPr>
            </w:r>
            <w:r/>
          </w:p>
        </w:tc>
        <w:tc>
          <w:tcPr>
            <w:tcW w:w="973"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dxa"/>
            <w:vAlign w:val="center"/>
            <w:textDirection w:val="lrTb"/>
            <w:noWrap w:val="false"/>
          </w:tcPr>
          <w:p>
            <w:pPr>
              <w:pStyle w:val="1270"/>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014"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rPr>
            </w:r>
            <w:r/>
          </w:p>
        </w:tc>
        <w:tc>
          <w:tcPr>
            <w:tcW w:w="2637" w:type="dxa"/>
            <w:vAlign w:val="center"/>
            <w:textDirection w:val="lrTb"/>
            <w:noWrap w:val="false"/>
          </w:tcPr>
          <w:p>
            <w:pPr>
              <w:pStyle w:val="1270"/>
              <w:spacing w:line="440" w:lineRule="exact"/>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rPr>
                <w:rFonts w:hint="eastAsia" w:ascii="宋体" w:hAnsi="宋体" w:cs="宋体"/>
                <w:bCs/>
                <w:sz w:val="24"/>
              </w:rPr>
            </w:r>
            <w:r/>
          </w:p>
          <w:p>
            <w:pPr>
              <w:pStyle w:val="1270"/>
              <w:spacing w:line="440" w:lineRule="exact"/>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bCs/>
                <w:sz w:val="24"/>
              </w:rPr>
            </w:r>
            <w:r/>
          </w:p>
          <w:p>
            <w:pPr>
              <w:pStyle w:val="1270"/>
              <w:spacing w:line="440" w:lineRule="exact"/>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rPr>
                <w:rFonts w:hint="eastAsia" w:ascii="宋体" w:hAnsi="宋体" w:cs="宋体"/>
                <w:bCs/>
                <w:sz w:val="24"/>
              </w:rPr>
            </w:r>
            <w:r/>
          </w:p>
          <w:p>
            <w:pPr>
              <w:pStyle w:val="1270"/>
              <w:spacing w:line="440" w:lineRule="exact"/>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rPr>
                <w:rFonts w:hint="eastAsia" w:ascii="宋体" w:hAnsi="宋体" w:cs="宋体"/>
                <w:b/>
                <w:sz w:val="24"/>
              </w:rPr>
            </w:r>
            <w:r/>
          </w:p>
        </w:tc>
        <w:tc>
          <w:tcPr>
            <w:tcW w:w="973"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tc>
          <w:tcPr>
            <w:tcW w:w="375" w:type="dxa"/>
            <w:vAlign w:val="center"/>
            <w:textDirection w:val="lrTb"/>
            <w:noWrap w:val="false"/>
          </w:tcPr>
          <w:p>
            <w:pPr>
              <w:pStyle w:val="1270"/>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14"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637"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w:t>
            </w:r>
            <w:r>
              <w:rPr>
                <w:sz w:val="24"/>
              </w:rPr>
              <w:t xml:space="preserve">电子件或电子证照</w:t>
            </w:r>
            <w:r>
              <w:rPr>
                <w:rFonts w:hint="eastAsia" w:ascii="宋体" w:hAnsi="宋体" w:cs="宋体"/>
                <w:sz w:val="24"/>
              </w:rPr>
            </w:r>
            <w:r/>
          </w:p>
        </w:tc>
      </w:tr>
      <w:tr>
        <w:trPr/>
        <w:tc>
          <w:tcPr>
            <w:tcW w:w="375" w:type="dxa"/>
            <w:vAlign w:val="center"/>
            <w:textDirection w:val="lrTb"/>
            <w:noWrap w:val="false"/>
          </w:tcPr>
          <w:p>
            <w:pPr>
              <w:pStyle w:val="1270"/>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14"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637"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dxa"/>
            <w:vAlign w:val="center"/>
            <w:textDirection w:val="lrTb"/>
            <w:noWrap w:val="false"/>
          </w:tcPr>
          <w:p>
            <w:pPr>
              <w:pStyle w:val="1270"/>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3-1</w:t>
            </w:r>
            <w:r>
              <w:rPr>
                <w:rFonts w:hint="eastAsia" w:ascii="宋体" w:hAnsi="宋体" w:cs="宋体"/>
                <w:sz w:val="24"/>
              </w:rPr>
            </w:r>
            <w:r/>
          </w:p>
        </w:tc>
        <w:tc>
          <w:tcPr>
            <w:tcW w:w="1014"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是否接受联合体响应</w:t>
            </w:r>
            <w:r>
              <w:rPr>
                <w:rFonts w:hint="eastAsia" w:ascii="宋体" w:hAnsi="宋体" w:cs="宋体"/>
                <w:sz w:val="24"/>
              </w:rPr>
            </w:r>
            <w:r/>
          </w:p>
        </w:tc>
        <w:tc>
          <w:tcPr>
            <w:tcW w:w="2637"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rPr>
                <w:rFonts w:hint="eastAsia" w:ascii="宋体" w:hAnsi="宋体" w:cs="宋体"/>
                <w:sz w:val="24"/>
              </w:rPr>
            </w:r>
            <w:r/>
          </w:p>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2、联合体各成员单位均须提供本表中序号1-1、1-2的证明文件。</w:t>
            </w:r>
            <w:r>
              <w:rPr>
                <w:rFonts w:hint="eastAsia" w:ascii="宋体" w:hAnsi="宋体" w:cs="宋体"/>
                <w:sz w:val="24"/>
              </w:rPr>
            </w:r>
            <w:r/>
          </w:p>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3、本表序号3-2项规定的其他特定资格要求中的每一小项要求，联合体各方中至少应当有一方符合本表中其他资格要求并提供证明文件。</w:t>
            </w:r>
            <w:r>
              <w:rPr>
                <w:rFonts w:hint="eastAsia" w:ascii="宋体" w:hAnsi="宋体" w:cs="宋体"/>
                <w:sz w:val="24"/>
              </w:rPr>
            </w:r>
            <w:r/>
          </w:p>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rPr>
                <w:rFonts w:hint="eastAsia" w:ascii="宋体" w:hAnsi="宋体" w:cs="宋体"/>
                <w:sz w:val="24"/>
              </w:rPr>
            </w:r>
            <w:r/>
          </w:p>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rPr>
                <w:rFonts w:hint="eastAsia" w:ascii="宋体" w:hAnsi="宋体" w:cs="宋体"/>
                <w:sz w:val="24"/>
              </w:rPr>
            </w:r>
            <w:r/>
          </w:p>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6、若联合体中任一成员单位中途退出，则该联合体的</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7、本项目不接受联合体响应，供应商不得为联合体。</w:t>
            </w:r>
            <w:r>
              <w:rPr>
                <w:rFonts w:hint="eastAsia" w:ascii="宋体" w:hAnsi="宋体" w:cs="宋体"/>
                <w:sz w:val="24"/>
              </w:rPr>
            </w:r>
            <w:r/>
          </w:p>
        </w:tc>
        <w:tc>
          <w:tcPr>
            <w:tcW w:w="973"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提供《联合协议》</w:t>
            </w:r>
            <w:r>
              <w:rPr>
                <w:rFonts w:hint="eastAsia"/>
                <w:sz w:val="24"/>
              </w:rPr>
              <w:t xml:space="preserve">原</w:t>
            </w:r>
            <w:r>
              <w:rPr>
                <w:sz w:val="24"/>
              </w:rPr>
              <w:t xml:space="preserve">件的电子件</w:t>
            </w:r>
            <w:r>
              <w:rPr>
                <w:rFonts w:hint="eastAsia" w:ascii="宋体" w:hAnsi="宋体" w:cs="宋体"/>
                <w:sz w:val="24"/>
              </w:rPr>
            </w:r>
            <w:r/>
          </w:p>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tc>
          <w:tcPr>
            <w:tcW w:w="375" w:type="dxa"/>
            <w:vAlign w:val="center"/>
            <w:textDirection w:val="lrTb"/>
            <w:noWrap w:val="false"/>
          </w:tcPr>
          <w:p>
            <w:pPr>
              <w:pStyle w:val="1270"/>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14"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637" w:type="dxa"/>
            <w:vAlign w:val="center"/>
            <w:textDirection w:val="lrTb"/>
            <w:noWrap w:val="false"/>
          </w:tcPr>
          <w:p>
            <w:pPr>
              <w:pStyle w:val="1270"/>
              <w:spacing w:line="440" w:lineRule="exact"/>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第一章《采购邀请》</w:t>
            </w:r>
            <w:r>
              <w:rPr>
                <w:rFonts w:hint="eastAsia" w:ascii="宋体" w:hAnsi="宋体" w:cs="宋体"/>
                <w:sz w:val="24"/>
              </w:rPr>
            </w:r>
            <w:r/>
          </w:p>
        </w:tc>
        <w:tc>
          <w:tcPr>
            <w:tcW w:w="973" w:type="dxa"/>
            <w:vAlign w:val="center"/>
            <w:textDirection w:val="lrTb"/>
            <w:noWrap w:val="false"/>
          </w:tcPr>
          <w:p>
            <w:pPr>
              <w:pStyle w:val="1270"/>
              <w:spacing w:line="440" w:lineRule="exact"/>
              <w:tabs>
                <w:tab w:val="left" w:pos="1080" w:leader="none"/>
              </w:tabs>
              <w:rPr>
                <w:rFonts w:hint="eastAsia" w:ascii="宋体" w:hAnsi="宋体" w:cs="宋体"/>
                <w:sz w:val="24"/>
              </w:rPr>
            </w:pPr>
            <w:r>
              <w:rPr>
                <w:sz w:val="24"/>
              </w:rPr>
              <w:t xml:space="preserve">提供证明文件的电子件或电子证照</w:t>
            </w:r>
            <w:r>
              <w:rPr>
                <w:rFonts w:hint="eastAsia" w:ascii="宋体" w:hAnsi="宋体" w:cs="宋体"/>
                <w:sz w:val="24"/>
              </w:rPr>
            </w:r>
            <w:r/>
          </w:p>
        </w:tc>
      </w:tr>
    </w:tbl>
    <w:p>
      <w:pPr>
        <w:pStyle w:val="1270"/>
        <w:jc w:val="left"/>
        <w:spacing w:line="440" w:lineRule="exact"/>
        <w:widowControl/>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  1.4.《符合性审查要求》见下表：</w:t>
      </w:r>
      <w:r>
        <w:rPr>
          <w:rFonts w:hint="eastAsia" w:ascii="宋体" w:hAnsi="宋体" w:cs="宋体"/>
          <w:sz w:val="24"/>
        </w:rPr>
      </w:r>
      <w:r/>
    </w:p>
    <w:p>
      <w:pPr>
        <w:pStyle w:val="1270"/>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1864"/>
        <w:gridCol w:w="6912"/>
      </w:tblGrid>
      <w:tr>
        <w:trPr>
          <w:trHeight w:val="300"/>
        </w:trPr>
        <w:tc>
          <w:tcPr>
            <w:tcW w:w="404" w:type="dxa"/>
            <w:vAlign w:val="center"/>
            <w:textDirection w:val="lrTb"/>
            <w:noWrap w:val="false"/>
          </w:tcPr>
          <w:p>
            <w:pPr>
              <w:pStyle w:val="1270"/>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270"/>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19" w:type="dxa"/>
            <w:vAlign w:val="center"/>
            <w:textDirection w:val="lrTb"/>
            <w:noWrap w:val="false"/>
          </w:tcPr>
          <w:p>
            <w:pPr>
              <w:pStyle w:val="1270"/>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270"/>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响应函、法定代表人资格证明书和政府采购供应商信用承诺书</w:t>
            </w:r>
            <w:r>
              <w:rPr>
                <w:rFonts w:hint="eastAsia" w:ascii="宋体" w:hAnsi="宋体" w:cs="宋体"/>
                <w:color w:val="000000"/>
                <w:sz w:val="24"/>
              </w:rPr>
            </w:r>
            <w:r/>
          </w:p>
        </w:tc>
        <w:tc>
          <w:tcPr>
            <w:tcW w:w="3619"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按磋商文件要求提供响应函、法定代表人资格证明书和政府采购供应商信用承诺书；</w:t>
            </w:r>
            <w:r>
              <w:rPr>
                <w:rFonts w:hint="eastAsia" w:ascii="宋体" w:hAnsi="宋体" w:cs="宋体"/>
                <w:color w:val="000000"/>
                <w:sz w:val="24"/>
              </w:rPr>
            </w:r>
            <w:r/>
          </w:p>
        </w:tc>
      </w:tr>
      <w:tr>
        <w:trPr>
          <w:trHeight w:val="685"/>
        </w:trPr>
        <w:tc>
          <w:tcPr>
            <w:tcW w:w="404" w:type="dxa"/>
            <w:vAlign w:val="center"/>
            <w:textDirection w:val="lrTb"/>
            <w:noWrap w:val="false"/>
          </w:tcPr>
          <w:p>
            <w:pPr>
              <w:pStyle w:val="1270"/>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3619"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sz w:val="24"/>
              </w:rPr>
              <w:t xml:space="preserve">未将一个采购包中的内容拆开响应；</w:t>
            </w:r>
            <w:r>
              <w:rPr>
                <w:rFonts w:hint="eastAsia" w:ascii="宋体" w:hAnsi="宋体" w:cs="宋体"/>
                <w:color w:val="000000"/>
                <w:sz w:val="24"/>
              </w:rPr>
            </w:r>
            <w:r/>
          </w:p>
        </w:tc>
      </w:tr>
      <w:tr>
        <w:trPr>
          <w:trHeight w:val="685"/>
        </w:trPr>
        <w:tc>
          <w:tcPr>
            <w:tcW w:w="404" w:type="dxa"/>
            <w:vAlign w:val="center"/>
            <w:textDirection w:val="lrTb"/>
            <w:noWrap w:val="false"/>
          </w:tcPr>
          <w:p>
            <w:pPr>
              <w:pStyle w:val="1270"/>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3619"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响应报价未超过磋商文件中规定的项目/采购包预算金额或者项目/采购包最高限价；</w:t>
            </w:r>
            <w:r>
              <w:rPr>
                <w:rFonts w:hint="eastAsia" w:ascii="宋体" w:hAnsi="宋体" w:cs="宋体"/>
                <w:color w:val="000000"/>
                <w:sz w:val="24"/>
              </w:rPr>
            </w:r>
            <w:r/>
          </w:p>
        </w:tc>
      </w:tr>
      <w:tr>
        <w:trPr>
          <w:trHeight w:val="685"/>
        </w:trPr>
        <w:tc>
          <w:tcPr>
            <w:tcW w:w="404" w:type="dxa"/>
            <w:vAlign w:val="center"/>
            <w:textDirection w:val="lrTb"/>
            <w:noWrap w:val="false"/>
          </w:tcPr>
          <w:p>
            <w:pPr>
              <w:pStyle w:val="1270"/>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19"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270"/>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3619"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270"/>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19"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270"/>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19"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270"/>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19"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第五章《采购需求》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270"/>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19"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w:t>
            </w:r>
            <w:r>
              <w:rPr>
                <w:sz w:val="24"/>
              </w:rPr>
              <w:t xml:space="preserve">电子件</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270"/>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19"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w:t>
            </w:r>
            <w:r>
              <w:rPr>
                <w:color w:val="000000"/>
                <w:sz w:val="24"/>
              </w:rPr>
              <w:t xml:space="preserve">电子件</w:t>
            </w:r>
            <w:r>
              <w:rPr>
                <w:rFonts w:hint="eastAsia" w:ascii="宋体" w:hAnsi="宋体" w:cs="宋体"/>
                <w:color w:val="000000"/>
                <w:sz w:val="24"/>
              </w:rPr>
              <w:t xml:space="preserve">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270"/>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19"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270"/>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19"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270"/>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3619"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w:t>
            </w:r>
            <w:r>
              <w:rPr>
                <w:rFonts w:hint="eastAsia"/>
                <w:color w:val="000000"/>
                <w:sz w:val="24"/>
              </w:rPr>
              <w:t xml:space="preserve">证明文件电子件</w:t>
            </w:r>
            <w:r>
              <w:rPr>
                <w:rFonts w:hint="eastAsia" w:ascii="宋体" w:hAnsi="宋体" w:cs="宋体"/>
                <w:color w:val="000000"/>
                <w:sz w:val="24"/>
              </w:rPr>
              <w:t xml:space="preserve">：</w:t>
            </w:r>
            <w:r>
              <w:rPr>
                <w:rFonts w:hint="eastAsia" w:ascii="宋体" w:hAnsi="宋体" w:cs="宋体"/>
                <w:color w:val="000000"/>
                <w:sz w:val="24"/>
              </w:rPr>
            </w:r>
            <w:r/>
          </w:p>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rPr>
            </w:r>
            <w:r/>
          </w:p>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rPr>
                <w:rFonts w:hint="eastAsia" w:ascii="宋体" w:hAnsi="宋体" w:cs="宋体"/>
                <w:color w:val="000000"/>
                <w:sz w:val="24"/>
              </w:rPr>
            </w:r>
            <w:r/>
          </w:p>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270"/>
              <w:jc w:val="left"/>
              <w:spacing w:line="440" w:lineRule="exac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270"/>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19"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270"/>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3619"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；（二）不同供应商委托同一单位或者个人办理响应事宜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270"/>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19"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270"/>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19" w:type="dxa"/>
            <w:vAlign w:val="center"/>
            <w:textDirection w:val="lrTb"/>
            <w:noWrap w:val="false"/>
          </w:tcPr>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color w:val="000000"/>
                <w:sz w:val="24"/>
              </w:rPr>
            </w:r>
            <w:r/>
          </w:p>
        </w:tc>
      </w:tr>
    </w:tbl>
    <w:p>
      <w:pPr>
        <w:pStyle w:val="1270"/>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2、磋商、响应文件有关事项的澄清、说明或者更正和最终报价</w:t>
      </w:r>
      <w:r>
        <w:rPr>
          <w:rFonts w:hint="eastAsia" w:ascii="宋体" w:hAnsi="宋体" w:cs="宋体"/>
          <w:sz w:val="24"/>
        </w:rPr>
      </w:r>
      <w:r/>
    </w:p>
    <w:p>
      <w:pPr>
        <w:pStyle w:val="1270"/>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2.1.磋商小组所有成员应当集中与单一供应商分别进行磋商，并给予所有参加磋商的供应商平等的磋商机会。</w:t>
      </w:r>
      <w:r>
        <w:rPr>
          <w:rFonts w:hint="eastAsia" w:ascii="宋体" w:hAnsi="宋体" w:cs="宋体"/>
          <w:sz w:val="24"/>
        </w:rPr>
      </w:r>
      <w:r/>
    </w:p>
    <w:p>
      <w:pPr>
        <w:pStyle w:val="1270"/>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2.2.在磋商过程中，磋商小组可以根据磋商文件和磋商情况实质性变动采购需求中的技术、服务要求以及合同草案条款，但不得变动磋商文件中的其他内容。实质性变动的内容，须经采购人代表确认。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270"/>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2.3.对磋商文件作出的实质性变动是磋商文件的有效组成部分，磋商小组应当及时通过苏采云政府采购一体化平台系统以书面形式同时通知所有参加磋商的供应商。</w:t>
      </w:r>
      <w:r>
        <w:rPr>
          <w:rFonts w:hint="eastAsia" w:ascii="宋体" w:hAnsi="宋体" w:cs="宋体"/>
          <w:sz w:val="24"/>
        </w:rPr>
      </w:r>
      <w:r/>
    </w:p>
    <w:p>
      <w:pPr>
        <w:pStyle w:val="1270"/>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 w:val="24"/>
        </w:rPr>
      </w:r>
      <w:r/>
    </w:p>
    <w:p>
      <w:pPr>
        <w:pStyle w:val="1270"/>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2.5.响应文件的澄清、说明或者更正：</w:t>
      </w:r>
      <w:r>
        <w:rPr>
          <w:rFonts w:hint="eastAsia" w:ascii="宋体" w:hAnsi="宋体" w:cs="宋体"/>
          <w:sz w:val="24"/>
        </w:rPr>
      </w:r>
      <w:r/>
    </w:p>
    <w:p>
      <w:pPr>
        <w:pStyle w:val="1270"/>
        <w:ind w:firstLine="480"/>
        <w:spacing w:line="440" w:lineRule="exact"/>
        <w:tabs>
          <w:tab w:val="left" w:pos="1980" w:leader="none"/>
        </w:tabs>
        <w:rPr>
          <w:rFonts w:hint="eastAsia" w:ascii="宋体" w:hAnsi="宋体" w:cs="宋体"/>
          <w:sz w:val="24"/>
        </w:rPr>
      </w:pPr>
      <w:r>
        <w:rPr>
          <w:rFonts w:hint="eastAsia" w:ascii="宋体" w:hAnsi="宋体" w:cs="宋体"/>
          <w:sz w:val="24"/>
        </w:rPr>
        <w:t xml:space="preserve">评审过程中，磋商小组会将以书面形式要求供应商对其响应文件中含义不明确、同类问题表述不一致或者有明显文字和计算错误的内容，作出必要的澄清、说明或者补正。供应商的澄清、说明或者补正应当采用书面形式，并签字确认。供应商的澄清、说明或者补正不得超出响应文件的范围或者改变响应文件的实质性内容。澄清文件将作为响应文件内容的一部分。</w:t>
      </w:r>
      <w:r>
        <w:rPr>
          <w:rFonts w:hint="eastAsia" w:ascii="宋体" w:hAnsi="宋体" w:cs="宋体"/>
          <w:sz w:val="24"/>
        </w:rPr>
      </w:r>
      <w:r/>
    </w:p>
    <w:p>
      <w:pPr>
        <w:pStyle w:val="1270"/>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2.6.</w:t>
      </w:r>
      <w:r>
        <w:rPr>
          <w:rFonts w:hint="eastAsia" w:ascii="宋体" w:hAnsi="宋体" w:cs="宋体"/>
          <w:b/>
          <w:bCs/>
          <w:sz w:val="24"/>
        </w:rPr>
        <w:t xml:space="preserve">磋商结束后，磋商小组将要求所有实质性响应的供应商在规定时间内通过苏采云政府采购一体化平台系统提交最终报价。</w:t>
      </w:r>
      <w:r>
        <w:rPr>
          <w:rFonts w:hint="eastAsia" w:ascii="宋体" w:hAnsi="宋体" w:cs="宋体"/>
          <w:sz w:val="24"/>
        </w:rPr>
      </w:r>
      <w:r/>
    </w:p>
    <w:p>
      <w:pPr>
        <w:pStyle w:val="1270"/>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2.7.磋商文件能够详细列明采购标的的技术、服务要求的，磋商结束后，磋商小组应当要求所有实质</w:t>
      </w:r>
      <w:r>
        <w:rPr>
          <w:rFonts w:hint="eastAsia" w:ascii="宋体" w:hAnsi="宋体" w:cs="宋体"/>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sz w:val="24"/>
        </w:rPr>
      </w:r>
      <w:r/>
    </w:p>
    <w:p>
      <w:pPr>
        <w:pStyle w:val="1270"/>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2.8.最终报价是供应商响应文件的有效组成部分。</w:t>
      </w:r>
      <w:r>
        <w:rPr>
          <w:rFonts w:hint="eastAsia" w:ascii="宋体" w:hAnsi="宋体" w:cs="宋体"/>
          <w:sz w:val="24"/>
        </w:rPr>
      </w:r>
      <w:r/>
    </w:p>
    <w:p>
      <w:pPr>
        <w:pStyle w:val="1270"/>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2.9.已提交响应文件的供应商，在提交最终报价之前，可以根据磋商情况退出磋商。</w:t>
      </w:r>
      <w:r>
        <w:rPr>
          <w:rFonts w:hint="eastAsia" w:ascii="宋体" w:hAnsi="宋体" w:cs="宋体"/>
          <w:sz w:val="24"/>
        </w:rPr>
      </w:r>
      <w:r/>
    </w:p>
    <w:p>
      <w:pPr>
        <w:pStyle w:val="1270"/>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3、最终报价的算术修正及政策调整</w:t>
      </w:r>
      <w:r>
        <w:rPr>
          <w:rFonts w:hint="eastAsia" w:ascii="宋体" w:hAnsi="宋体" w:cs="宋体"/>
          <w:sz w:val="24"/>
        </w:rPr>
      </w:r>
      <w:r/>
    </w:p>
    <w:p>
      <w:pPr>
        <w:pStyle w:val="1270"/>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3.1.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270"/>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3.2.最终报价出现前后不一致的，按照下列规定修正：</w:t>
      </w:r>
      <w:r>
        <w:rPr>
          <w:rFonts w:hint="eastAsia" w:ascii="宋体" w:hAnsi="宋体" w:cs="宋体"/>
          <w:sz w:val="24"/>
        </w:rPr>
      </w:r>
      <w:r/>
    </w:p>
    <w:p>
      <w:pPr>
        <w:pStyle w:val="1270"/>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3.2.1.竞争性磋商文件对于报价修正是否另有规定：</w:t>
      </w:r>
      <w:r>
        <w:rPr>
          <w:rFonts w:hint="eastAsia" w:ascii="宋体" w:hAnsi="宋体" w:cs="宋体"/>
          <w:sz w:val="24"/>
        </w:rPr>
      </w:r>
      <w:r/>
    </w:p>
    <w:p>
      <w:pPr>
        <w:pStyle w:val="1270"/>
        <w:ind w:firstLine="1440"/>
        <w:spacing w:line="440" w:lineRule="exact"/>
        <w:tabs>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r>
      <w:r/>
    </w:p>
    <w:p>
      <w:pPr>
        <w:pStyle w:val="1270"/>
        <w:ind w:firstLine="144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☑无，按下述3.2.2-3.2.5项规定修正。</w:t>
      </w:r>
      <w:r>
        <w:rPr>
          <w:rFonts w:hint="eastAsia" w:ascii="宋体" w:hAnsi="宋体" w:cs="宋体"/>
          <w:sz w:val="24"/>
        </w:rPr>
      </w:r>
      <w:r/>
    </w:p>
    <w:p>
      <w:pPr>
        <w:pStyle w:val="1270"/>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3.2.2.大写金额和小写金额不一致的，以大写金额为准；</w:t>
      </w:r>
      <w:r>
        <w:rPr>
          <w:rFonts w:hint="eastAsia" w:ascii="宋体" w:hAnsi="宋体" w:cs="宋体"/>
          <w:color w:val="000000"/>
          <w:sz w:val="24"/>
        </w:rPr>
      </w:r>
      <w:r/>
    </w:p>
    <w:p>
      <w:pPr>
        <w:pStyle w:val="1270"/>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3.2.3.单价金额小数点或者百分比有明显错位的，以最终报价一览表的总价为准，并修改单价；</w:t>
      </w:r>
      <w:r>
        <w:rPr>
          <w:rFonts w:hint="eastAsia" w:ascii="宋体" w:hAnsi="宋体" w:cs="宋体"/>
          <w:color w:val="000000"/>
          <w:sz w:val="24"/>
        </w:rPr>
      </w:r>
      <w:r/>
    </w:p>
    <w:p>
      <w:pPr>
        <w:pStyle w:val="1270"/>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3.2.4.总价金额与按单价汇总金额不一致的，以单价金额计算结果为准。</w:t>
      </w:r>
      <w:r>
        <w:rPr>
          <w:rFonts w:hint="eastAsia" w:ascii="宋体" w:hAnsi="宋体" w:cs="宋体"/>
          <w:color w:val="000000"/>
          <w:sz w:val="24"/>
        </w:rPr>
      </w:r>
      <w:r/>
    </w:p>
    <w:p>
      <w:pPr>
        <w:pStyle w:val="1270"/>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3.2.5.同时出现两种以上不一致的，按照前款规定的顺序修正。修正后的报价经供应商书面确认后产生约束力，供应商不确认的，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rPr>
          <w:rFonts w:hint="eastAsia" w:ascii="宋体" w:hAnsi="宋体" w:cs="宋体"/>
          <w:sz w:val="24"/>
        </w:rPr>
      </w:r>
      <w:r/>
    </w:p>
    <w:p>
      <w:pPr>
        <w:pStyle w:val="1270"/>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3.3.落实政府采购政策的价格调整：只有符合第二章《供应商须知》4.2条规定情形的，可以享受中小企业扶持政策，用扣除后的价格参加评审；否则，评审时价格不予扣除。</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3.3.1.对于未预留份额专门面向中小企业采购的采购项目，以及预留份额项目中的非预留部分采购包，对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rPr>
          <w:rFonts w:hint="eastAsia" w:ascii="宋体" w:hAnsi="宋体" w:cs="宋体"/>
          <w:sz w:val="24"/>
        </w:rPr>
      </w:r>
      <w:r/>
    </w:p>
    <w:p>
      <w:pPr>
        <w:pStyle w:val="1270"/>
        <w:ind w:firstLine="720"/>
        <w:spacing w:line="440" w:lineRule="exact"/>
        <w:rPr>
          <w:rFonts w:hint="eastAsia" w:ascii="宋体" w:hAnsi="宋体" w:cs="宋体"/>
          <w:sz w:val="24"/>
        </w:rPr>
      </w:pPr>
      <w:r>
        <w:rPr>
          <w:rFonts w:hint="eastAsia" w:ascii="宋体" w:hAnsi="宋体" w:cs="宋体"/>
          <w:sz w:val="24"/>
        </w:rPr>
        <w:t xml:space="preserve">3.3.2.对于未预留份额专门面向中小企业采购的采购项目，以及预留份额项目中的非预留部分采购包，且接受大中型企业与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30%以上的联合体或者大中型企业的报价给予3%的扣除，用扣除后的价格参加评审。</w:t>
      </w:r>
      <w:r>
        <w:rPr>
          <w:rFonts w:hint="eastAsia" w:ascii="宋体" w:hAnsi="宋体" w:cs="宋体"/>
          <w:sz w:val="24"/>
        </w:rPr>
      </w:r>
      <w:r/>
    </w:p>
    <w:p>
      <w:pPr>
        <w:pStyle w:val="1270"/>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3.3.3.组成联合体或者接受分包的小微企业与联合体内其他企业、分包企业之间存在直接控股、管理关系的，不享受价格扣除优惠政策。</w:t>
      </w:r>
      <w:r>
        <w:rPr>
          <w:rFonts w:hint="eastAsia" w:ascii="宋体" w:hAnsi="宋体" w:cs="宋体"/>
          <w:sz w:val="24"/>
        </w:rPr>
      </w:r>
      <w:r/>
    </w:p>
    <w:p>
      <w:pPr>
        <w:pStyle w:val="1270"/>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3.3.4.价格扣除比例对小型企业和微型企业同等对待，不作区分。</w:t>
      </w:r>
      <w:r>
        <w:rPr>
          <w:rFonts w:hint="eastAsia" w:ascii="宋体" w:hAnsi="宋体" w:cs="宋体"/>
          <w:sz w:val="24"/>
        </w:rPr>
      </w:r>
      <w:r/>
    </w:p>
    <w:p>
      <w:pPr>
        <w:pStyle w:val="1270"/>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color w:val="000000"/>
          <w:sz w:val="24"/>
        </w:rPr>
        <w:t xml:space="preserve">3.3.5.中小企业参加政府采购活动，应当按照竞争性磋商文件给定的格式出具《中小企业声明函》，否则不得享受相关中小企业扶持政策。</w:t>
      </w:r>
      <w:r>
        <w:rPr>
          <w:rFonts w:hint="eastAsia" w:ascii="宋体" w:hAnsi="宋体" w:cs="宋体"/>
          <w:sz w:val="24"/>
        </w:rPr>
      </w:r>
      <w:r/>
    </w:p>
    <w:p>
      <w:pPr>
        <w:pStyle w:val="1270"/>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3.3.6.监狱企业提供了由省级以上监狱管理局（常州市含教育矫治局）、戒毒管理局（含新疆生产建设兵团）出具的属于监狱企业的证明文件的，视同小微企业。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270"/>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3.3.7.残疾人福利性单位按竞争性磋商文件要求提供了《残疾人福利性单位声明函》（见附件）的，视同小微企业。</w:t>
      </w:r>
      <w:r>
        <w:rPr>
          <w:rFonts w:hint="eastAsia" w:ascii="宋体" w:hAnsi="宋体" w:cs="宋体"/>
          <w:sz w:val="24"/>
        </w:rPr>
      </w:r>
      <w:r/>
    </w:p>
    <w:p>
      <w:pPr>
        <w:pStyle w:val="1270"/>
        <w:ind w:firstLine="720"/>
        <w:spacing w:line="440" w:lineRule="exact"/>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3.3.8.若供应商同时属于小型或微型企业、监狱企业、残疾人福利性单位中的两种及以上，将不重复享受小微企业价格扣减的优惠政策。</w:t>
      </w:r>
      <w:r>
        <w:rPr>
          <w:rFonts w:hint="eastAsia" w:ascii="宋体" w:hAnsi="宋体" w:cs="宋体"/>
          <w:sz w:val="24"/>
        </w:rPr>
      </w:r>
      <w:r/>
    </w:p>
    <w:p>
      <w:pPr>
        <w:pStyle w:val="1270"/>
        <w:ind w:firstLine="720"/>
        <w:spacing w:line="440" w:lineRule="exact"/>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3.3.9.其他为落实政府采购政策实施的优先采购：/。</w:t>
      </w:r>
      <w:r>
        <w:rPr>
          <w:rFonts w:hint="eastAsia" w:ascii="宋体" w:hAnsi="宋体" w:cs="宋体"/>
          <w:sz w:val="24"/>
        </w:rPr>
      </w:r>
      <w:r/>
    </w:p>
    <w:p>
      <w:pPr>
        <w:pStyle w:val="1270"/>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4、磋商环节及提交最终报价后如出现以下情况的，供应商的</w:t>
      </w:r>
      <w:r>
        <w:rPr>
          <w:rFonts w:hint="eastAsia" w:ascii="宋体" w:hAnsi="宋体" w:cs="宋体"/>
          <w:b/>
          <w:sz w:val="24"/>
        </w:rPr>
        <w:t xml:space="preserve">响应文件无效</w:t>
      </w:r>
      <w:r>
        <w:rPr>
          <w:rFonts w:hint="eastAsia" w:ascii="宋体" w:hAnsi="宋体" w:cs="宋体"/>
          <w:sz w:val="24"/>
        </w:rPr>
        <w:t xml:space="preserve">：</w:t>
      </w:r>
      <w:r>
        <w:rPr>
          <w:rFonts w:hint="eastAsia" w:ascii="宋体" w:hAnsi="宋体" w:cs="宋体"/>
          <w:sz w:val="24"/>
        </w:rPr>
      </w:r>
      <w:r/>
    </w:p>
    <w:p>
      <w:pPr>
        <w:pStyle w:val="1270"/>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4.1.供应商对实质性变动不予确认的；</w:t>
      </w:r>
      <w:r>
        <w:rPr>
          <w:rFonts w:hint="eastAsia" w:ascii="宋体" w:hAnsi="宋体" w:cs="宋体"/>
          <w:sz w:val="24"/>
        </w:rPr>
      </w:r>
      <w:r/>
    </w:p>
    <w:p>
      <w:pPr>
        <w:pStyle w:val="1270"/>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4.2.不满足磋商文件★号条款或磋商文件技术指标超出磋商文件《采购需求》中主要技术参数允许偏差的最大范围的（如有）；</w:t>
      </w:r>
      <w:r>
        <w:rPr>
          <w:rFonts w:hint="eastAsia" w:ascii="宋体" w:hAnsi="宋体" w:cs="宋体"/>
          <w:sz w:val="24"/>
        </w:rPr>
      </w:r>
      <w:r/>
    </w:p>
    <w:p>
      <w:pPr>
        <w:pStyle w:val="1270"/>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4.3.未按照磋商小组规定的时间、逾期提交最终报价的；</w:t>
      </w:r>
      <w:r>
        <w:rPr>
          <w:rFonts w:hint="eastAsia" w:ascii="宋体" w:hAnsi="宋体" w:cs="宋体"/>
          <w:sz w:val="24"/>
        </w:rPr>
      </w:r>
      <w:r/>
    </w:p>
    <w:p>
      <w:pPr>
        <w:pStyle w:val="1270"/>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4.4.如供应商的最终报价超过竞争性磋商文件中规定的项目/采购包预算金额或者项目/采购包最高限价的；</w:t>
      </w:r>
      <w:r>
        <w:rPr>
          <w:rFonts w:hint="eastAsia" w:ascii="宋体" w:hAnsi="宋体" w:cs="宋体"/>
          <w:sz w:val="24"/>
        </w:rPr>
      </w:r>
      <w:r/>
    </w:p>
    <w:p>
      <w:pPr>
        <w:pStyle w:val="1270"/>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4.5.响应文件中出现可选择性或可调整的报价的（竞争性磋商文件另有规定的除外）；</w:t>
      </w:r>
      <w:r>
        <w:rPr>
          <w:rFonts w:hint="eastAsia" w:ascii="宋体" w:hAnsi="宋体" w:cs="宋体"/>
          <w:sz w:val="24"/>
        </w:rPr>
      </w:r>
      <w:r/>
    </w:p>
    <w:p>
      <w:pPr>
        <w:pStyle w:val="1270"/>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4.6.最终报价出现前后不一致，供应商对修正后的报价不予确认的；</w:t>
      </w:r>
      <w:r>
        <w:rPr>
          <w:rFonts w:hint="eastAsia" w:ascii="宋体" w:hAnsi="宋体" w:cs="宋体"/>
          <w:sz w:val="24"/>
        </w:rPr>
      </w:r>
      <w:r/>
    </w:p>
    <w:p>
      <w:pPr>
        <w:pStyle w:val="1270"/>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4.7.其他：/。</w:t>
      </w:r>
      <w:r>
        <w:rPr>
          <w:rFonts w:hint="eastAsia" w:ascii="宋体" w:hAnsi="宋体" w:cs="宋体"/>
          <w:sz w:val="24"/>
        </w:rPr>
      </w:r>
      <w:r/>
    </w:p>
    <w:p>
      <w:pPr>
        <w:pStyle w:val="1270"/>
        <w:spacing w:line="440" w:lineRule="exact"/>
        <w:tabs>
          <w:tab w:val="left" w:pos="360" w:leader="none"/>
        </w:tabs>
        <w:rPr>
          <w:rFonts w:hint="eastAsia" w:ascii="宋体" w:hAnsi="宋体" w:cs="宋体"/>
          <w:sz w:val="24"/>
        </w:rPr>
        <w:outlineLvl w:val="1"/>
      </w:pPr>
      <w:r/>
      <w:bookmarkEnd w:id="621"/>
      <w:r/>
      <w:bookmarkEnd w:id="622"/>
      <w:r>
        <w:rPr>
          <w:rFonts w:hint="eastAsia" w:ascii="宋体" w:hAnsi="宋体" w:cs="宋体"/>
          <w:sz w:val="24"/>
        </w:rPr>
        <w:t xml:space="preserve">5、评审方法和评审标准</w:t>
      </w:r>
      <w:r>
        <w:rPr>
          <w:rFonts w:hint="eastAsia" w:ascii="宋体" w:hAnsi="宋体" w:cs="宋体"/>
          <w:sz w:val="24"/>
        </w:rPr>
      </w:r>
      <w:r/>
    </w:p>
    <w:p>
      <w:pPr>
        <w:pStyle w:val="1270"/>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sz w:val="24"/>
        </w:rPr>
      </w:r>
      <w:r/>
    </w:p>
    <w:p>
      <w:pPr>
        <w:pStyle w:val="1270"/>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5.2.竞争性磋商文件中没有规定的评审标准不得作为评审依据。</w:t>
      </w:r>
      <w:r>
        <w:rPr>
          <w:rFonts w:hint="eastAsia" w:ascii="宋体" w:hAnsi="宋体" w:cs="宋体"/>
          <w:sz w:val="24"/>
        </w:rPr>
      </w:r>
      <w:r/>
    </w:p>
    <w:p>
      <w:pPr>
        <w:pStyle w:val="1270"/>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5.3.非政府强制采购的节能产品或环境标志产品，依据品目清单和认证证书实施政府优先采购。优先采购的具体规定（如涉及）/。</w:t>
      </w:r>
      <w:r>
        <w:rPr>
          <w:rFonts w:hint="eastAsia" w:ascii="宋体" w:hAnsi="宋体" w:cs="宋体"/>
          <w:sz w:val="24"/>
        </w:rPr>
      </w:r>
      <w:r/>
    </w:p>
    <w:p>
      <w:pPr>
        <w:pStyle w:val="1270"/>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5.4.关于无线局域网认证产品政府采购清单中的产品，优先采购的具体规定（如涉及）/。</w:t>
      </w:r>
      <w:r>
        <w:rPr>
          <w:rFonts w:hint="eastAsia" w:ascii="宋体" w:hAnsi="宋体" w:cs="宋体"/>
          <w:sz w:val="24"/>
        </w:rPr>
      </w:r>
      <w:r/>
    </w:p>
    <w:p>
      <w:pPr>
        <w:pStyle w:val="1270"/>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6、确定</w:t>
      </w:r>
      <w:bookmarkStart w:id="638" w:name="_Toc151193716"/>
      <w:r/>
      <w:bookmarkStart w:id="639" w:name="_Toc127151747"/>
      <w:r/>
      <w:bookmarkStart w:id="640" w:name="_Toc226309790"/>
      <w:r/>
      <w:bookmarkStart w:id="641" w:name="_Toc265228384"/>
      <w:r/>
      <w:bookmarkStart w:id="642" w:name="_Toc164229241"/>
      <w:r/>
      <w:bookmarkStart w:id="643" w:name="_Toc150774646"/>
      <w:r/>
      <w:bookmarkStart w:id="644" w:name="_Toc195842911"/>
      <w:r/>
      <w:bookmarkStart w:id="645" w:name="_Toc164229387"/>
      <w:r/>
      <w:bookmarkStart w:id="646" w:name="_Toc127161460"/>
      <w:r/>
      <w:bookmarkStart w:id="647" w:name="_Toc151193788"/>
      <w:r/>
      <w:bookmarkStart w:id="648" w:name="_Toc149720839"/>
      <w:r/>
      <w:bookmarkStart w:id="649" w:name="_Toc151193934"/>
      <w:r/>
      <w:bookmarkStart w:id="650" w:name="_Toc520356170"/>
      <w:r/>
      <w:bookmarkStart w:id="651" w:name="_Toc151193860"/>
      <w:r/>
      <w:bookmarkStart w:id="652" w:name="_Toc305158888"/>
      <w:r/>
      <w:bookmarkStart w:id="653" w:name="_Ref467307010"/>
      <w:r/>
      <w:bookmarkStart w:id="654" w:name="_Toc164608815"/>
      <w:r/>
      <w:bookmarkStart w:id="655" w:name="_Toc150480784"/>
      <w:r/>
      <w:bookmarkStart w:id="656" w:name="_Toc226965819"/>
      <w:r/>
      <w:bookmarkStart w:id="657" w:name="_Toc151193644"/>
      <w:r/>
      <w:bookmarkStart w:id="658" w:name="_Toc150509297"/>
      <w:r/>
      <w:bookmarkStart w:id="659" w:name="_Toc142311048"/>
      <w:r/>
      <w:bookmarkStart w:id="660" w:name="_Toc164351640"/>
      <w:r/>
      <w:bookmarkStart w:id="661" w:name="_Toc226337242"/>
      <w:r/>
      <w:bookmarkStart w:id="662" w:name="_Toc127151546"/>
      <w:r/>
      <w:bookmarkStart w:id="663" w:name="_Toc305158814"/>
      <w:r/>
      <w:bookmarkStart w:id="664" w:name="_Toc226965736"/>
      <w:r/>
      <w:bookmarkStart w:id="665" w:name="_Toc151190173"/>
      <w:r/>
      <w:bookmarkStart w:id="666" w:name="_Toc150774751"/>
      <w:r/>
      <w:bookmarkStart w:id="667" w:name="_Toc164608660"/>
      <w:r/>
      <w:bookmarkStart w:id="668" w:name="_Toc264969236"/>
      <w:r>
        <w:rPr>
          <w:rFonts w:hint="eastAsia" w:ascii="宋体" w:hAnsi="宋体" w:cs="宋体"/>
          <w:sz w:val="24"/>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rFonts w:hint="eastAsia" w:ascii="宋体" w:hAnsi="宋体" w:cs="宋体"/>
          <w:sz w:val="24"/>
        </w:rPr>
      </w:r>
      <w:r/>
    </w:p>
    <w:p>
      <w:pPr>
        <w:pStyle w:val="1270"/>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 w:val="24"/>
        </w:rPr>
      </w:r>
      <w:r/>
    </w:p>
    <w:p>
      <w:pPr>
        <w:pStyle w:val="1270"/>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szCs w:val="20"/>
        </w:rPr>
        <w:t xml:space="preserve">6.2.磋商小组根据上述供应商排序，依次推荐排序前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270"/>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6.3.磋商小组要对评分汇总情况进行复核，特别是对排名第一的、报价最低的、响应文件被认定为无效的情形进行重点复核。</w:t>
      </w:r>
      <w:r>
        <w:rPr>
          <w:rFonts w:hint="eastAsia" w:ascii="宋体" w:hAnsi="宋体" w:cs="宋体"/>
          <w:sz w:val="24"/>
        </w:rPr>
      </w:r>
      <w:r/>
    </w:p>
    <w:p>
      <w:pPr>
        <w:pStyle w:val="1270"/>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7、报告违法行为</w:t>
      </w:r>
      <w:r>
        <w:rPr>
          <w:rFonts w:hint="eastAsia" w:ascii="宋体" w:hAnsi="宋体" w:cs="宋体"/>
          <w:sz w:val="24"/>
        </w:rPr>
      </w:r>
      <w:r/>
    </w:p>
    <w:p>
      <w:pPr>
        <w:pStyle w:val="1270"/>
        <w:ind w:firstLine="480"/>
        <w:jc w:val="left"/>
        <w:spacing w:line="440" w:lineRule="exact"/>
        <w:widowControl/>
        <w:tabs>
          <w:tab w:val="left" w:pos="1080" w:leader="none"/>
          <w:tab w:val="left" w:pos="1872" w:leader="none"/>
        </w:tabs>
        <w:rPr>
          <w:rFonts w:hint="eastAsia" w:ascii="宋体" w:hAnsi="宋体" w:cs="宋体"/>
          <w:color w:val="000000"/>
          <w:sz w:val="24"/>
        </w:rPr>
      </w:pPr>
      <w:r>
        <w:rPr>
          <w:rFonts w:hint="eastAsia" w:ascii="宋体" w:hAnsi="宋体" w:cs="宋体"/>
          <w:sz w:val="24"/>
        </w:rPr>
        <w:t xml:space="preserve">7.1.磋商小组在评审过程中发现供应商有行贿、提供虚假材料或者串通等违法行为时，有向采购人、采购代理机构或者有关</w:t>
      </w:r>
      <w:r>
        <w:rPr>
          <w:rFonts w:hint="eastAsia" w:ascii="宋体" w:hAnsi="宋体" w:cs="宋体"/>
          <w:color w:val="000000"/>
          <w:sz w:val="24"/>
        </w:rPr>
        <w:t xml:space="preserve">部门报告的职责。</w:t>
      </w:r>
      <w:r>
        <w:rPr>
          <w:rFonts w:hint="eastAsia" w:ascii="宋体" w:hAnsi="宋体" w:cs="宋体"/>
          <w:color w:val="000000"/>
          <w:sz w:val="24"/>
        </w:rPr>
      </w:r>
      <w:r/>
    </w:p>
    <w:p>
      <w:pPr>
        <w:pStyle w:val="1270"/>
        <w:numPr>
          <w:ilvl w:val="0"/>
          <w:numId w:val="10"/>
        </w:numPr>
        <w:ind w:firstLine="562"/>
        <w:jc w:val="center"/>
        <w:spacing w:line="440" w:lineRule="exact"/>
        <w:widowControl/>
        <w:tabs>
          <w:tab w:val="left" w:pos="1080" w:leader="none"/>
          <w:tab w:val="left" w:pos="1872" w:leader="none"/>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评审标准</w:t>
      </w:r>
      <w:r>
        <w:rPr>
          <w:rFonts w:hint="eastAsia" w:ascii="宋体" w:hAnsi="宋体" w:cs="宋体"/>
          <w:b/>
          <w:bCs/>
          <w:color w:val="000000"/>
          <w:sz w:val="28"/>
          <w:szCs w:val="28"/>
          <w:highlight w:val="none"/>
        </w:rPr>
      </w:r>
      <w:r/>
    </w:p>
    <w:p>
      <w:pPr>
        <w:pStyle w:val="1270"/>
        <w:ind w:firstLine="480"/>
        <w:spacing w:line="440" w:lineRule="exact"/>
        <w:rPr>
          <w:rFonts w:hint="eastAsia" w:ascii="宋体" w:hAnsi="宋体" w:cs="宋体"/>
          <w:color w:val="000000"/>
          <w:sz w:val="24"/>
        </w:rPr>
      </w:pPr>
      <w:r/>
      <w:bookmarkStart w:id="669" w:name="_Toc3221_WPSOffice_Level2"/>
      <w:r/>
      <w:bookmarkStart w:id="670" w:name="_Toc27028_WPSOffice_Level2"/>
      <w:r>
        <w:rPr>
          <w:rFonts w:hint="eastAsia" w:ascii="宋体" w:hAnsi="宋体" w:cs="宋体"/>
          <w:color w:val="000000"/>
          <w:sz w:val="24"/>
        </w:rPr>
        <w:t xml:space="preserve">一、评审办法：</w:t>
      </w:r>
      <w:bookmarkEnd w:id="669"/>
      <w:r/>
      <w:bookmarkEnd w:id="670"/>
      <w:r>
        <w:rPr>
          <w:rFonts w:hint="eastAsia" w:ascii="宋体" w:hAnsi="宋体" w:cs="宋体"/>
          <w:color w:val="000000"/>
          <w:sz w:val="24"/>
        </w:rPr>
      </w:r>
      <w:r/>
    </w:p>
    <w:p>
      <w:pPr>
        <w:pStyle w:val="1270"/>
        <w:ind w:firstLine="420"/>
        <w:spacing w:line="440" w:lineRule="exact"/>
        <w:rPr>
          <w:rFonts w:hint="eastAsia" w:ascii="宋体" w:hAnsi="宋体" w:cs="宋体"/>
          <w:color w:val="000000"/>
          <w:sz w:val="24"/>
        </w:rPr>
      </w:pPr>
      <w:r/>
      <w:bookmarkStart w:id="671" w:name="_Toc25022_WPSOffice_Level2"/>
      <w:r/>
      <w:bookmarkStart w:id="672" w:name="_Toc11510_WPSOffice_Level2"/>
      <w:r>
        <w:rPr>
          <w:rFonts w:hint="eastAsia" w:ascii="宋体" w:hAnsi="宋体" w:cs="宋体"/>
          <w:color w:val="000000"/>
          <w:sz w:val="24"/>
        </w:rPr>
        <w:t xml:space="preserve">1、本次项目采用综合评分法。磋商小组仅对确定为实质上响应磋商文件要求的响应文件进行评审和比较。</w:t>
      </w:r>
      <w:r>
        <w:rPr>
          <w:rFonts w:hint="eastAsia" w:ascii="宋体" w:hAnsi="宋体" w:cs="宋体"/>
          <w:color w:val="000000"/>
          <w:sz w:val="24"/>
        </w:rPr>
      </w:r>
      <w:r/>
    </w:p>
    <w:p>
      <w:pPr>
        <w:pStyle w:val="1270"/>
        <w:ind w:firstLine="420"/>
        <w:spacing w:line="440" w:lineRule="exact"/>
        <w:rPr>
          <w:rFonts w:hint="eastAsia" w:ascii="宋体" w:hAnsi="宋体" w:cs="宋体"/>
          <w:color w:val="000000"/>
          <w:sz w:val="24"/>
        </w:rPr>
      </w:pPr>
      <w:r>
        <w:rPr>
          <w:rFonts w:hint="eastAsia" w:ascii="宋体" w:hAnsi="宋体" w:cs="宋体"/>
          <w:color w:val="000000"/>
          <w:sz w:val="24"/>
        </w:rPr>
        <w:t xml:space="preserve">2、综合评分法，是指在响应文件满足磋商文件全部实质性要求且按评审因素的量化指标评审得分最高的供应商为成交候选供应商的评标方法。</w:t>
      </w:r>
      <w:r>
        <w:rPr>
          <w:rFonts w:hint="eastAsia" w:ascii="宋体" w:hAnsi="宋体" w:cs="宋体"/>
          <w:color w:val="000000"/>
          <w:sz w:val="24"/>
        </w:rPr>
      </w:r>
      <w:r/>
    </w:p>
    <w:p>
      <w:pPr>
        <w:pStyle w:val="1270"/>
        <w:ind w:firstLine="420"/>
        <w:spacing w:line="440" w:lineRule="exact"/>
        <w:rPr>
          <w:rFonts w:hint="eastAsia" w:ascii="宋体" w:hAnsi="宋体" w:cs="宋体"/>
          <w:color w:val="000000"/>
          <w:sz w:val="24"/>
        </w:rPr>
      </w:pPr>
      <w:r>
        <w:rPr>
          <w:rFonts w:hint="eastAsia" w:ascii="宋体" w:hAnsi="宋体" w:cs="宋体"/>
          <w:color w:val="000000"/>
          <w:sz w:val="24"/>
        </w:rPr>
        <w:t xml:space="preserve">具体评标分值如下：根据对磋商文件进行综合评审。磋商小组根据综合评分情况，按照评审得分由高到低顺序推荐成交候选供应商。若评审得分相同，按报价得分由高到低顺序推荐。得分且磋商报价相同的，按技术指标优劣顺序推荐。</w:t>
      </w:r>
      <w:r>
        <w:rPr>
          <w:rFonts w:hint="eastAsia" w:ascii="宋体" w:hAnsi="宋体" w:cs="宋体"/>
          <w:color w:val="000000"/>
          <w:sz w:val="24"/>
        </w:rPr>
      </w:r>
      <w:r/>
    </w:p>
    <w:p>
      <w:pPr>
        <w:pStyle w:val="1270"/>
        <w:ind w:firstLine="420"/>
        <w:spacing w:line="440" w:lineRule="exact"/>
        <w:rPr>
          <w:rFonts w:hint="eastAsia" w:ascii="宋体" w:hAnsi="宋体" w:cs="宋体"/>
          <w:color w:val="000000"/>
          <w:sz w:val="24"/>
        </w:rPr>
      </w:pPr>
      <w:r>
        <w:rPr>
          <w:rFonts w:hint="eastAsia" w:ascii="宋体" w:hAnsi="宋体" w:cs="宋体"/>
          <w:color w:val="000000"/>
          <w:sz w:val="24"/>
        </w:rPr>
        <w:t xml:space="preserve">采购包一： </w:t>
      </w:r>
      <w:r>
        <w:rPr>
          <w:rFonts w:hint="eastAsia" w:ascii="宋体" w:hAnsi="宋体" w:cs="宋体"/>
          <w:color w:val="000000"/>
          <w:sz w:val="24"/>
        </w:rPr>
      </w:r>
      <w:r/>
    </w:p>
    <w:tbl>
      <w:tblPr>
        <w:tblW w:w="5098"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9"/>
        <w:gridCol w:w="1323"/>
        <w:gridCol w:w="1383"/>
        <w:gridCol w:w="5484"/>
        <w:gridCol w:w="699"/>
      </w:tblGrid>
      <w:tr>
        <w:trPr/>
        <w:tc>
          <w:tcPr>
            <w:tcW w:w="738"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32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评分内容</w:t>
            </w:r>
            <w:r>
              <w:rPr>
                <w:rFonts w:hint="eastAsia" w:ascii="宋体" w:hAnsi="宋体" w:eastAsia="宋体" w:cs="宋体"/>
                <w:b/>
                <w:bCs/>
                <w:sz w:val="24"/>
                <w:szCs w:val="24"/>
              </w:rPr>
            </w:r>
            <w:r/>
          </w:p>
        </w:tc>
        <w:tc>
          <w:tcPr>
            <w:tcW w:w="138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评分因素</w:t>
            </w:r>
            <w:r>
              <w:rPr>
                <w:rFonts w:hint="eastAsia" w:ascii="宋体" w:hAnsi="宋体" w:eastAsia="宋体" w:cs="宋体"/>
                <w:b/>
                <w:bCs/>
                <w:sz w:val="24"/>
                <w:szCs w:val="24"/>
              </w:rPr>
            </w:r>
            <w:r/>
          </w:p>
        </w:tc>
        <w:tc>
          <w:tcPr>
            <w:tcW w:w="5479"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rPr>
                <w:rFonts w:hint="eastAsia" w:ascii="宋体" w:hAnsi="宋体" w:eastAsia="宋体" w:cs="宋体"/>
                <w:b/>
                <w:bCs/>
                <w:sz w:val="24"/>
                <w:szCs w:val="24"/>
              </w:rPr>
            </w:r>
            <w:r/>
          </w:p>
        </w:tc>
        <w:tc>
          <w:tcPr>
            <w:tcW w:w="698"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分值</w:t>
            </w:r>
            <w:r>
              <w:rPr>
                <w:rFonts w:hint="eastAsia" w:ascii="宋体" w:hAnsi="宋体" w:eastAsia="宋体" w:cs="宋体"/>
                <w:b/>
                <w:bCs/>
                <w:sz w:val="24"/>
                <w:szCs w:val="24"/>
              </w:rPr>
            </w:r>
            <w:r/>
          </w:p>
        </w:tc>
      </w:tr>
      <w:tr>
        <w:trPr/>
        <w:tc>
          <w:tcPr>
            <w:tcW w:w="738"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32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报价</w:t>
            </w:r>
            <w:r>
              <w:rPr>
                <w:rFonts w:hint="eastAsia" w:ascii="宋体" w:hAnsi="宋体" w:eastAsia="宋体" w:cs="宋体"/>
                <w:sz w:val="24"/>
                <w:szCs w:val="24"/>
              </w:rPr>
            </w:r>
            <w:r/>
          </w:p>
        </w:tc>
        <w:tc>
          <w:tcPr>
            <w:tcW w:w="138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投标报价</w:t>
            </w:r>
            <w:r>
              <w:rPr>
                <w:rFonts w:hint="eastAsia" w:ascii="宋体" w:hAnsi="宋体" w:eastAsia="宋体" w:cs="宋体"/>
                <w:sz w:val="24"/>
                <w:szCs w:val="24"/>
              </w:rPr>
            </w:r>
            <w:r/>
          </w:p>
        </w:tc>
        <w:tc>
          <w:tcPr>
            <w:tcW w:w="5479" w:type="dxa"/>
            <w:vAlign w:val="center"/>
            <w:textDirection w:val="lrTb"/>
            <w:noWrap w:val="false"/>
          </w:tcPr>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各投标供应商的有效投标报价，满足招标文件要求且经评审的投标价格有效的最低投标报价为评标基准价，其价格为15分。其他投标供应商的价格分统一按照下列公式计算，最高得分为15分：</w:t>
            </w:r>
            <w:r>
              <w:rPr>
                <w:rFonts w:hint="eastAsia" w:ascii="宋体" w:hAnsi="宋体" w:eastAsia="宋体" w:cs="宋体"/>
                <w:sz w:val="24"/>
                <w:szCs w:val="24"/>
              </w:rPr>
            </w:r>
            <w:r/>
          </w:p>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bCs/>
                <w:sz w:val="24"/>
                <w:szCs w:val="24"/>
              </w:rPr>
              <w:t xml:space="preserve">投标报价得分=(评标基准价／投标报价)×价格权值×100</w:t>
            </w:r>
            <w:r>
              <w:rPr>
                <w:rFonts w:hint="eastAsia" w:ascii="宋体" w:hAnsi="宋体" w:eastAsia="宋体" w:cs="宋体"/>
                <w:sz w:val="24"/>
                <w:szCs w:val="24"/>
              </w:rPr>
            </w:r>
            <w:r/>
          </w:p>
        </w:tc>
        <w:tc>
          <w:tcPr>
            <w:tcW w:w="698"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r>
      <w:tr>
        <w:trPr/>
        <w:tc>
          <w:tcPr>
            <w:tcW w:w="738" w:type="dxa"/>
            <w:vAlign w:val="center"/>
            <w:vMerge w:val="restart"/>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322" w:type="dxa"/>
            <w:vAlign w:val="center"/>
            <w:vMerge w:val="restart"/>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投标供应商评价</w:t>
            </w:r>
            <w:r>
              <w:rPr>
                <w:rFonts w:hint="eastAsia" w:ascii="宋体" w:hAnsi="宋体" w:eastAsia="宋体" w:cs="宋体"/>
                <w:sz w:val="24"/>
                <w:szCs w:val="24"/>
              </w:rPr>
            </w:r>
            <w:r/>
          </w:p>
        </w:tc>
        <w:tc>
          <w:tcPr>
            <w:tcW w:w="138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企业资质、信誉</w:t>
            </w:r>
            <w:r>
              <w:rPr>
                <w:rFonts w:hint="eastAsia" w:ascii="宋体" w:hAnsi="宋体" w:eastAsia="宋体" w:cs="宋体"/>
                <w:sz w:val="24"/>
                <w:szCs w:val="24"/>
              </w:rPr>
            </w:r>
            <w:r/>
          </w:p>
        </w:tc>
        <w:tc>
          <w:tcPr>
            <w:tcW w:w="5479" w:type="dxa"/>
            <w:vAlign w:val="center"/>
            <w:textDirection w:val="lrTb"/>
            <w:noWrap w:val="false"/>
          </w:tcPr>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（1）投标供应商通过质量管理体系认证得1分【提供认证证书电子件加盖公章，未按要求提供不得分】</w:t>
            </w:r>
            <w:r>
              <w:rPr>
                <w:rFonts w:hint="eastAsia" w:ascii="宋体" w:hAnsi="宋体" w:eastAsia="宋体" w:cs="宋体"/>
                <w:sz w:val="24"/>
                <w:szCs w:val="24"/>
              </w:rPr>
            </w:r>
            <w:r/>
          </w:p>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（2）投标供应商通过环境管理体系认证得1分【提供认证证书电子件加盖公章，未按要求提供不得分】</w:t>
            </w:r>
            <w:r>
              <w:rPr>
                <w:rFonts w:hint="eastAsia" w:ascii="宋体" w:hAnsi="宋体" w:eastAsia="宋体" w:cs="宋体"/>
                <w:sz w:val="24"/>
                <w:szCs w:val="24"/>
              </w:rPr>
            </w:r>
            <w:r/>
          </w:p>
          <w:p>
            <w:pPr>
              <w:pStyle w:val="1724"/>
              <w:ind w:left="0" w:firstLine="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（3）投标供应商通过职业健康安全管理体系认证得1分【提供认证证书电子件加盖公章装订进入投标文件，未按要求提供不得分】</w:t>
            </w:r>
            <w:r>
              <w:rPr>
                <w:rFonts w:hint="eastAsia" w:ascii="宋体" w:hAnsi="宋体" w:eastAsia="宋体" w:cs="宋体"/>
                <w:sz w:val="24"/>
                <w:szCs w:val="24"/>
              </w:rPr>
            </w:r>
            <w:r/>
          </w:p>
          <w:p>
            <w:pPr>
              <w:pStyle w:val="1724"/>
              <w:ind w:left="0" w:firstLine="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（4）投标供应商通过信息安全管理体系认证得1分【提供认证证书电子件加盖公章，未按要求提供不得分】</w:t>
            </w:r>
            <w:r>
              <w:rPr>
                <w:rFonts w:hint="eastAsia" w:ascii="宋体" w:hAnsi="宋体" w:eastAsia="宋体" w:cs="宋体"/>
                <w:sz w:val="24"/>
                <w:szCs w:val="24"/>
              </w:rPr>
            </w:r>
            <w:r/>
          </w:p>
          <w:p>
            <w:pPr>
              <w:pStyle w:val="1724"/>
              <w:ind w:left="0" w:firstLine="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（5）供应商具有测量管理体系（AAA）认证证书，通过认证的范围为涉及运维服务的得1分【提供认证证书电子件加盖公章，未按要求提供不得分】</w:t>
            </w:r>
            <w:r>
              <w:rPr>
                <w:rFonts w:hint="eastAsia" w:ascii="宋体" w:hAnsi="宋体" w:eastAsia="宋体" w:cs="宋体"/>
                <w:sz w:val="24"/>
                <w:szCs w:val="24"/>
              </w:rPr>
            </w:r>
            <w:r/>
          </w:p>
          <w:p>
            <w:pPr>
              <w:pStyle w:val="1724"/>
              <w:ind w:left="0" w:firstLine="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Cs w:val="21"/>
              </w:rPr>
              <w:t xml:space="preserve">供应商具有水环境质量自动监测运维质控平台类、水质自动监测智慧管控平台类计算机软件著作权登记证书的，每有一个得2分，最高得4分。</w:t>
            </w:r>
            <w:r>
              <w:rPr>
                <w:rFonts w:hint="eastAsia" w:ascii="宋体" w:hAnsi="宋体" w:eastAsia="宋体" w:cs="宋体"/>
                <w:sz w:val="24"/>
                <w:szCs w:val="24"/>
              </w:rPr>
              <w:t xml:space="preserve">【提供相证书电子件并加盖公章，未提供的不得分】</w:t>
            </w:r>
            <w:r>
              <w:rPr>
                <w:rFonts w:hint="eastAsia" w:ascii="宋体" w:hAnsi="宋体" w:eastAsia="宋体" w:cs="宋体"/>
                <w:sz w:val="24"/>
                <w:szCs w:val="24"/>
              </w:rPr>
            </w:r>
            <w:r/>
          </w:p>
          <w:p>
            <w:pPr>
              <w:pStyle w:val="1724"/>
              <w:ind w:left="0" w:firstLine="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（7）供应商环境监测类项目获得过省级及以上相关部门颁发的荣誉、奖项或表彰的得3分。【需提供证明材料电子件加盖公章，未提供的不得分】</w:t>
            </w:r>
            <w:r>
              <w:rPr>
                <w:rFonts w:hint="eastAsia" w:ascii="宋体" w:hAnsi="宋体" w:eastAsia="宋体" w:cs="宋体"/>
                <w:sz w:val="24"/>
                <w:szCs w:val="24"/>
              </w:rPr>
            </w:r>
            <w:r/>
          </w:p>
        </w:tc>
        <w:tc>
          <w:tcPr>
            <w:tcW w:w="698"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r>
            <w:r/>
          </w:p>
        </w:tc>
      </w:tr>
      <w:tr>
        <w:trPr/>
        <w:tc>
          <w:tcPr>
            <w:tcW w:w="738"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322"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8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sz w:val="24"/>
                <w:szCs w:val="24"/>
              </w:rPr>
              <w:t xml:space="preserve">业绩</w:t>
            </w:r>
            <w:r>
              <w:rPr>
                <w:rFonts w:hint="eastAsia" w:ascii="宋体" w:hAnsi="宋体" w:eastAsia="宋体" w:cs="宋体"/>
                <w:b/>
                <w:bCs/>
                <w:sz w:val="24"/>
                <w:szCs w:val="24"/>
              </w:rPr>
            </w:r>
            <w:r/>
          </w:p>
        </w:tc>
        <w:tc>
          <w:tcPr>
            <w:tcW w:w="5479" w:type="dxa"/>
            <w:vAlign w:val="center"/>
            <w:textDirection w:val="lrTb"/>
            <w:noWrap w:val="false"/>
          </w:tcPr>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cs="宋体"/>
                <w:sz w:val="24"/>
                <w:lang w:eastAsia="zh-CN"/>
              </w:rPr>
              <w:t xml:space="preserve">供应商</w:t>
            </w:r>
            <w:r>
              <w:rPr>
                <w:rFonts w:hint="eastAsia" w:ascii="宋体" w:hAnsi="宋体" w:cs="宋体"/>
                <w:sz w:val="24"/>
              </w:rPr>
              <w:t xml:space="preserve">202</w:t>
            </w:r>
            <w:r>
              <w:rPr>
                <w:rFonts w:hint="eastAsia" w:ascii="宋体" w:hAnsi="宋体" w:cs="宋体"/>
                <w:sz w:val="24"/>
                <w:lang w:val="en-US" w:eastAsia="zh-CN"/>
              </w:rPr>
              <w:t xml:space="preserve">3</w:t>
            </w:r>
            <w:r>
              <w:rPr>
                <w:rFonts w:hint="eastAsia" w:ascii="宋体" w:hAnsi="宋体" w:cs="宋体"/>
                <w:sz w:val="24"/>
              </w:rPr>
              <w:t xml:space="preserve">年1月1日以来</w:t>
            </w:r>
            <w:r>
              <w:rPr>
                <w:rFonts w:hint="eastAsia" w:ascii="宋体" w:hAnsi="宋体" w:cs="宋体"/>
                <w:sz w:val="24"/>
                <w:lang w:val="en-US" w:eastAsia="zh-CN"/>
              </w:rPr>
              <w:t xml:space="preserve">承担</w:t>
            </w:r>
            <w:r>
              <w:rPr>
                <w:rFonts w:hint="eastAsia" w:ascii="宋体" w:hAnsi="宋体" w:cs="宋体"/>
                <w:sz w:val="24"/>
              </w:rPr>
              <w:t xml:space="preserve">地表水水质自动站运维业绩（至少含1年运维服务），每提供一份得2分，最高得</w:t>
            </w:r>
            <w:r>
              <w:rPr>
                <w:rFonts w:hint="eastAsia" w:ascii="宋体" w:hAnsi="宋体" w:cs="宋体"/>
                <w:sz w:val="24"/>
                <w:lang w:val="en-US" w:eastAsia="zh-CN"/>
              </w:rPr>
              <w:t xml:space="preserve">12</w:t>
            </w:r>
            <w:r>
              <w:rPr>
                <w:rFonts w:hint="eastAsia" w:ascii="宋体" w:hAnsi="宋体" w:cs="宋体"/>
                <w:sz w:val="24"/>
              </w:rPr>
              <w:t xml:space="preserve">分。</w:t>
            </w:r>
            <w:r>
              <w:rPr>
                <w:rFonts w:hint="eastAsia" w:ascii="宋体" w:hAnsi="宋体" w:eastAsia="宋体" w:cs="宋体"/>
                <w:sz w:val="24"/>
                <w:szCs w:val="24"/>
              </w:rPr>
              <w:t xml:space="preserve">【</w:t>
            </w:r>
            <w:r>
              <w:rPr>
                <w:rFonts w:hint="eastAsia" w:ascii="宋体" w:hAnsi="宋体" w:cs="宋体"/>
                <w:sz w:val="24"/>
              </w:rPr>
              <w:t xml:space="preserve">提供运维合同复印件加盖公章装订在响应文件中，以合同签订时间为准。注：同一份合同分年度签订的，算作1份业绩</w:t>
            </w:r>
            <w:r>
              <w:rPr>
                <w:rFonts w:hint="eastAsia" w:ascii="宋体" w:hAnsi="宋体" w:eastAsia="宋体" w:cs="宋体"/>
                <w:sz w:val="24"/>
                <w:szCs w:val="24"/>
              </w:rPr>
              <w:t xml:space="preserve">】</w:t>
            </w:r>
            <w:r>
              <w:rPr>
                <w:rFonts w:hint="eastAsia" w:ascii="宋体" w:hAnsi="宋体" w:eastAsia="宋体" w:cs="宋体"/>
                <w:sz w:val="24"/>
                <w:szCs w:val="24"/>
              </w:rPr>
            </w:r>
            <w:r/>
          </w:p>
        </w:tc>
        <w:tc>
          <w:tcPr>
            <w:tcW w:w="698"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r>
            <w:r/>
          </w:p>
        </w:tc>
      </w:tr>
      <w:tr>
        <w:trPr/>
        <w:tc>
          <w:tcPr>
            <w:tcW w:w="738"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322"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8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sz w:val="24"/>
                <w:szCs w:val="24"/>
              </w:rPr>
              <w:t xml:space="preserve">运维服务满意度</w:t>
            </w:r>
            <w:r>
              <w:rPr>
                <w:rFonts w:hint="eastAsia" w:ascii="宋体" w:hAnsi="宋体" w:eastAsia="宋体" w:cs="宋体"/>
                <w:b/>
                <w:bCs/>
                <w:sz w:val="24"/>
                <w:szCs w:val="24"/>
              </w:rPr>
            </w:r>
            <w:r/>
          </w:p>
        </w:tc>
        <w:tc>
          <w:tcPr>
            <w:tcW w:w="5479" w:type="dxa"/>
            <w:vAlign w:val="center"/>
            <w:textDirection w:val="lrTb"/>
            <w:noWrap w:val="false"/>
          </w:tcPr>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供应商2023年</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月1日以来</w:t>
            </w:r>
            <w:r>
              <w:rPr>
                <w:rFonts w:hint="eastAsia" w:ascii="宋体" w:hAnsi="宋体" w:cs="宋体"/>
                <w:sz w:val="24"/>
                <w:szCs w:val="24"/>
                <w:lang w:val="en-US" w:eastAsia="zh-CN"/>
              </w:rPr>
              <w:t xml:space="preserve">水质</w:t>
            </w:r>
            <w:r>
              <w:rPr>
                <w:rFonts w:hint="eastAsia" w:ascii="宋体" w:hAnsi="宋体" w:eastAsia="宋体" w:cs="宋体"/>
                <w:sz w:val="24"/>
                <w:szCs w:val="24"/>
              </w:rPr>
              <w:t xml:space="preserve">自动站运维能力比较，用户满意度评价（满意及以上），每个用户得1分，最高得6分【提供用户满意度评价电子件加盖公章，否则不得分】</w:t>
            </w:r>
            <w:r>
              <w:rPr>
                <w:rFonts w:hint="eastAsia" w:ascii="宋体" w:hAnsi="宋体" w:eastAsia="宋体" w:cs="宋体"/>
                <w:sz w:val="24"/>
                <w:szCs w:val="24"/>
              </w:rPr>
            </w:r>
            <w:r/>
          </w:p>
        </w:tc>
        <w:tc>
          <w:tcPr>
            <w:tcW w:w="698"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r>
      <w:tr>
        <w:trPr/>
        <w:tc>
          <w:tcPr>
            <w:tcW w:w="738"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322"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8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sz w:val="24"/>
                <w:szCs w:val="24"/>
              </w:rPr>
              <w:t xml:space="preserve">项目质量控制</w:t>
            </w:r>
            <w:r>
              <w:rPr>
                <w:rFonts w:hint="eastAsia" w:ascii="宋体" w:hAnsi="宋体" w:eastAsia="宋体" w:cs="宋体"/>
                <w:b/>
                <w:bCs/>
                <w:sz w:val="24"/>
                <w:szCs w:val="24"/>
              </w:rPr>
            </w:r>
            <w:r/>
          </w:p>
        </w:tc>
        <w:tc>
          <w:tcPr>
            <w:tcW w:w="5479" w:type="dxa"/>
            <w:vAlign w:val="center"/>
            <w:textDirection w:val="lrTb"/>
            <w:noWrap w:val="false"/>
          </w:tcPr>
          <w:p>
            <w:pPr>
              <w:pStyle w:val="1270"/>
              <w:spacing w:line="440" w:lineRule="exact"/>
              <w:rPr>
                <w:rFonts w:hint="eastAsia" w:ascii="宋体" w:hAnsi="宋体" w:eastAsia="宋体" w:cs="宋体"/>
                <w:sz w:val="24"/>
                <w:lang w:eastAsia="zh-CN"/>
              </w:rPr>
            </w:pPr>
            <w:r>
              <w:rPr>
                <w:rFonts w:hint="eastAsia" w:ascii="宋体" w:hAnsi="宋体"/>
                <w:sz w:val="24"/>
              </w:rPr>
              <w:t xml:space="preserve">投标供应商本身有用于质量控制的CMA实验室且在“江苏省社会环境检测机构信息管理平台”登记、公开检测能力得5分；投标供应商本身无实验室，在省内有委托第三方实验室（提供的CMA资质认定证书上单位名称和</w:t>
            </w:r>
            <w:r>
              <w:rPr>
                <w:rFonts w:hint="eastAsia" w:ascii="宋体" w:hAnsi="宋体"/>
                <w:sz w:val="24"/>
                <w:lang w:eastAsia="zh-CN"/>
              </w:rPr>
              <w:t xml:space="preserve">供应商</w:t>
            </w:r>
            <w:r>
              <w:rPr>
                <w:rFonts w:hint="eastAsia" w:ascii="宋体" w:hAnsi="宋体"/>
                <w:sz w:val="24"/>
              </w:rPr>
              <w:t xml:space="preserve">不一致的，均视为委托实验室）的得3分；没有实验室且未委托实验室的不得分。实验室认证范围存至少包含</w:t>
            </w:r>
            <w:r>
              <w:rPr>
                <w:rFonts w:hint="eastAsia" w:ascii="宋体" w:hAnsi="宋体" w:cs="宋体"/>
                <w:sz w:val="24"/>
              </w:rPr>
              <w:t xml:space="preserve">（水质常规五参数、高锰酸盐指数、氨氮总磷、总氮），缺少一个参数不得分</w:t>
            </w:r>
            <w:r>
              <w:rPr>
                <w:rFonts w:hint="eastAsia" w:ascii="宋体" w:hAnsi="宋体" w:cs="宋体"/>
                <w:sz w:val="24"/>
                <w:lang w:eastAsia="zh-CN"/>
              </w:rPr>
              <w:t xml:space="preserve">。</w:t>
            </w:r>
            <w:r>
              <w:rPr>
                <w:rFonts w:hint="eastAsia" w:ascii="宋体" w:hAnsi="宋体" w:eastAsia="宋体" w:cs="宋体"/>
                <w:sz w:val="24"/>
                <w:lang w:eastAsia="zh-CN"/>
              </w:rPr>
            </w:r>
            <w:r/>
          </w:p>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rPr>
              <w:t xml:space="preserve">提供实验室资质（认证或认可）证书及涵盖本项目指标的计量认证或认可证书，加盖公章，否则不得分</w:t>
            </w:r>
            <w:r>
              <w:rPr>
                <w:rFonts w:hint="eastAsia" w:ascii="宋体" w:hAnsi="宋体" w:eastAsia="宋体" w:cs="宋体"/>
                <w:sz w:val="24"/>
                <w:szCs w:val="24"/>
              </w:rPr>
              <w:t xml:space="preserve">】</w:t>
            </w:r>
            <w:r>
              <w:rPr>
                <w:rFonts w:hint="eastAsia" w:ascii="宋体" w:hAnsi="宋体" w:eastAsia="宋体" w:cs="宋体"/>
                <w:sz w:val="24"/>
                <w:szCs w:val="24"/>
              </w:rPr>
            </w:r>
            <w:r/>
          </w:p>
        </w:tc>
        <w:tc>
          <w:tcPr>
            <w:tcW w:w="698"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r>
      <w:tr>
        <w:trPr/>
        <w:tc>
          <w:tcPr>
            <w:tcW w:w="738"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322"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8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sz w:val="24"/>
                <w:szCs w:val="24"/>
              </w:rPr>
              <w:t xml:space="preserve">项目技术人员配备情况</w:t>
            </w:r>
            <w:r>
              <w:rPr>
                <w:rFonts w:hint="eastAsia" w:ascii="宋体" w:hAnsi="宋体" w:eastAsia="宋体" w:cs="宋体"/>
                <w:b/>
                <w:bCs/>
                <w:sz w:val="24"/>
                <w:szCs w:val="24"/>
              </w:rPr>
            </w:r>
            <w:r/>
          </w:p>
        </w:tc>
        <w:tc>
          <w:tcPr>
            <w:tcW w:w="5479" w:type="dxa"/>
            <w:vAlign w:val="center"/>
            <w:textDirection w:val="lrTb"/>
            <w:noWrap w:val="false"/>
          </w:tcPr>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项目技术人员配备情况（12分）</w:t>
            </w:r>
            <w:r>
              <w:rPr>
                <w:rFonts w:hint="eastAsia" w:ascii="宋体" w:hAnsi="宋体" w:eastAsia="宋体" w:cs="宋体"/>
                <w:sz w:val="24"/>
                <w:szCs w:val="24"/>
              </w:rPr>
            </w:r>
            <w:r/>
          </w:p>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rPr>
              <w:t xml:space="preserve">供应商拟投入该项目的项目经理具备环境类高级职称的得基础分1分；项目经理具备环境监测专业领域国家级评审员资质认定的加2分；项目经理获得过省部级环保部门颁发的环境监测类人才证书的加2分。本项最高5分，没有不得分。</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提供证件</w:t>
            </w:r>
            <w:r>
              <w:rPr>
                <w:rFonts w:hint="eastAsia" w:ascii="宋体" w:hAnsi="宋体" w:eastAsia="宋体" w:cs="宋体"/>
                <w:sz w:val="24"/>
                <w:szCs w:val="24"/>
              </w:rPr>
              <w:t xml:space="preserve">电子件加盖公章</w:t>
            </w:r>
            <w:r>
              <w:rPr>
                <w:rFonts w:hint="eastAsia" w:ascii="宋体" w:hAnsi="宋体" w:eastAsia="宋体" w:cs="宋体"/>
                <w:color w:val="000000"/>
                <w:sz w:val="24"/>
                <w:szCs w:val="24"/>
              </w:rPr>
              <w:t xml:space="preserve">，不提供不得分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2)为本项目配置的运维人员具备中国环境监测总站颁发的</w:t>
            </w:r>
            <w:r>
              <w:rPr>
                <w:rFonts w:hint="eastAsia" w:ascii="宋体" w:hAnsi="宋体" w:cs="宋体"/>
                <w:sz w:val="24"/>
                <w:szCs w:val="24"/>
                <w:lang w:val="en-US" w:eastAsia="zh-CN"/>
              </w:rPr>
              <w:t xml:space="preserve">水质</w:t>
            </w:r>
            <w:r>
              <w:rPr>
                <w:rFonts w:hint="eastAsia" w:ascii="宋体" w:hAnsi="宋体" w:eastAsia="宋体" w:cs="宋体"/>
                <w:sz w:val="24"/>
                <w:szCs w:val="24"/>
              </w:rPr>
              <w:t xml:space="preserve">自动监测培训合格证，每1人得1分，最高得3分；具备中国环境监测总站颁发的</w:t>
            </w:r>
            <w:r>
              <w:rPr>
                <w:rFonts w:hint="eastAsia" w:ascii="宋体" w:hAnsi="宋体" w:cs="宋体"/>
                <w:sz w:val="24"/>
                <w:szCs w:val="24"/>
                <w:lang w:val="en-US" w:eastAsia="zh-CN"/>
              </w:rPr>
              <w:t xml:space="preserve">水质</w:t>
            </w:r>
            <w:r>
              <w:rPr>
                <w:rFonts w:hint="eastAsia" w:ascii="宋体" w:hAnsi="宋体" w:eastAsia="宋体" w:cs="宋体"/>
                <w:sz w:val="24"/>
                <w:szCs w:val="24"/>
              </w:rPr>
              <w:t xml:space="preserve">自动监测培训合格证的运维人员中，同时具备环境类高级职称的，每1人加1分，最高加2分。【提供证书电子件加盖公章、并提供供应商为其缴纳的近3个月社保缴费证明】</w:t>
            </w:r>
            <w:r>
              <w:rPr>
                <w:rFonts w:hint="eastAsia" w:ascii="宋体" w:hAnsi="宋体" w:eastAsia="宋体" w:cs="宋体"/>
                <w:sz w:val="24"/>
                <w:szCs w:val="24"/>
              </w:rPr>
            </w:r>
            <w:r/>
          </w:p>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3）供应商承诺中标后派驻1人至采购方工作的得2分。派驻人员均需采购方考核认可，方视为正式派驻。</w:t>
            </w:r>
            <w:r>
              <w:rPr>
                <w:rFonts w:hint="eastAsia" w:ascii="宋体" w:hAnsi="宋体" w:eastAsia="宋体" w:cs="宋体"/>
                <w:sz w:val="24"/>
                <w:szCs w:val="24"/>
              </w:rPr>
            </w:r>
            <w:r/>
          </w:p>
        </w:tc>
        <w:tc>
          <w:tcPr>
            <w:tcW w:w="698"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r>
      <w:tr>
        <w:trPr/>
        <w:tc>
          <w:tcPr>
            <w:tcW w:w="738"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322"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82" w:type="dxa"/>
            <w:vAlign w:val="center"/>
            <w:textDirection w:val="lrTb"/>
            <w:noWrap w:val="false"/>
          </w:tcPr>
          <w:p>
            <w:pPr>
              <w:pStyle w:val="1270"/>
              <w:jc w:val="center"/>
              <w:keepLines w:val="0"/>
              <w:keepNext w:val="0"/>
              <w:pageBreakBefore w:val="0"/>
              <w:spacing w:line="44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本地化服务</w:t>
            </w:r>
            <w:r>
              <w:rPr>
                <w:rFonts w:ascii="宋体" w:hAnsi="宋体" w:eastAsia="宋体" w:cs="宋体"/>
                <w:sz w:val="24"/>
                <w:szCs w:val="24"/>
                <w:lang w:val="en-US" w:eastAsia="zh-CN"/>
              </w:rPr>
            </w:r>
            <w:r/>
          </w:p>
        </w:tc>
        <w:tc>
          <w:tcPr>
            <w:tcW w:w="5479" w:type="dxa"/>
            <w:vAlign w:val="center"/>
            <w:textDirection w:val="lrTb"/>
            <w:noWrap w:val="false"/>
          </w:tcPr>
          <w:p>
            <w:pPr>
              <w:pStyle w:val="1270"/>
              <w:jc w:val="left"/>
              <w:keepLines w:val="0"/>
              <w:keepNext w:val="0"/>
              <w:pageBreakBefore w:val="0"/>
              <w:spacing w:line="440" w:lineRule="exact"/>
              <w:rPr>
                <w:rFonts w:hint="eastAsia" w:ascii="宋体" w:hAnsi="宋体" w:eastAsia="宋体" w:cs="宋体"/>
                <w:bCs/>
                <w:sz w:val="24"/>
                <w:szCs w:val="24"/>
              </w:rPr>
            </w:pPr>
            <w:r>
              <w:rPr>
                <w:rFonts w:hint="eastAsia" w:ascii="宋体" w:hAnsi="宋体" w:cs="宋体"/>
                <w:sz w:val="24"/>
                <w:lang w:eastAsia="zh-CN"/>
              </w:rPr>
              <w:t xml:space="preserve">供应商</w:t>
            </w:r>
            <w:r>
              <w:rPr>
                <w:rFonts w:hint="eastAsia" w:ascii="宋体" w:hAnsi="宋体" w:cs="宋体"/>
                <w:sz w:val="24"/>
              </w:rPr>
              <w:t xml:space="preserve">在常州市</w:t>
            </w:r>
            <w:r>
              <w:rPr>
                <w:rFonts w:hint="eastAsia" w:ascii="宋体" w:hAnsi="宋体" w:cs="宋体"/>
                <w:color w:val="000000"/>
                <w:sz w:val="24"/>
              </w:rPr>
              <w:t xml:space="preserve">自有或租赁固定的办公场所</w:t>
            </w:r>
            <w:r>
              <w:rPr>
                <w:rFonts w:hint="eastAsia" w:ascii="宋体" w:hAnsi="宋体" w:cs="宋体"/>
                <w:sz w:val="24"/>
              </w:rPr>
              <w:t xml:space="preserve">得3分。承诺中标后提供办事处的得1分。</w:t>
            </w:r>
            <w:r>
              <w:rPr>
                <w:rFonts w:hint="eastAsia" w:ascii="宋体" w:hAnsi="宋体" w:eastAsia="宋体" w:cs="宋体"/>
                <w:sz w:val="24"/>
                <w:szCs w:val="24"/>
              </w:rPr>
              <w:t xml:space="preserve">【</w:t>
            </w:r>
            <w:r>
              <w:rPr>
                <w:rFonts w:hint="eastAsia" w:ascii="宋体" w:hAnsi="宋体" w:cs="宋体"/>
                <w:sz w:val="24"/>
              </w:rPr>
              <w:t xml:space="preserve">提供已有服务点的产权证明（或租房协议）或承诺书加盖公章，未提供的不得分</w:t>
            </w:r>
            <w:r>
              <w:rPr>
                <w:rFonts w:hint="eastAsia" w:ascii="宋体" w:hAnsi="宋体" w:eastAsia="宋体" w:cs="宋体"/>
                <w:sz w:val="24"/>
                <w:szCs w:val="24"/>
              </w:rPr>
              <w:t xml:space="preserve">】</w:t>
            </w:r>
            <w:r>
              <w:rPr>
                <w:rFonts w:hint="eastAsia" w:ascii="宋体" w:hAnsi="宋体" w:eastAsia="宋体" w:cs="宋体"/>
                <w:bCs/>
                <w:sz w:val="24"/>
                <w:szCs w:val="24"/>
              </w:rPr>
            </w:r>
            <w:r/>
          </w:p>
        </w:tc>
        <w:tc>
          <w:tcPr>
            <w:tcW w:w="698"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r>
      <w:tr>
        <w:trPr/>
        <w:tc>
          <w:tcPr>
            <w:tcW w:w="738"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322"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82" w:type="dxa"/>
            <w:vAlign w:val="center"/>
            <w:vMerge w:val="restart"/>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sz w:val="24"/>
                <w:szCs w:val="24"/>
              </w:rPr>
              <w:t xml:space="preserve">运维方案</w:t>
            </w:r>
            <w:r>
              <w:rPr>
                <w:rFonts w:hint="eastAsia" w:ascii="宋体" w:hAnsi="宋体" w:eastAsia="宋体" w:cs="宋体"/>
                <w:b/>
                <w:bCs/>
                <w:sz w:val="24"/>
                <w:szCs w:val="24"/>
              </w:rPr>
            </w:r>
            <w:r/>
          </w:p>
        </w:tc>
        <w:tc>
          <w:tcPr>
            <w:tcW w:w="5479" w:type="dxa"/>
            <w:vAlign w:val="center"/>
            <w:textDirection w:val="lrTb"/>
            <w:noWrap w:val="false"/>
          </w:tcPr>
          <w:p>
            <w:pPr>
              <w:pStyle w:val="1270"/>
              <w:jc w:val="left"/>
              <w:spacing w:line="440" w:lineRule="exact"/>
              <w:widowControl/>
              <w:rPr>
                <w:rFonts w:ascii="宋体" w:hAnsi="宋体" w:cs="宋体"/>
                <w:sz w:val="24"/>
              </w:rPr>
            </w:pPr>
            <w:r>
              <w:rPr>
                <w:rFonts w:hint="eastAsia" w:ascii="宋体" w:hAnsi="宋体" w:eastAsia="宋体" w:cs="宋体"/>
                <w:sz w:val="24"/>
                <w:szCs w:val="24"/>
              </w:rPr>
              <w:t xml:space="preserve">（1）运维方案(</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cs="宋体"/>
                <w:sz w:val="24"/>
              </w:rPr>
              <w:t xml:space="preserve">根据</w:t>
            </w:r>
            <w:r>
              <w:rPr>
                <w:rFonts w:hint="eastAsia" w:ascii="宋体" w:hAnsi="宋体" w:cs="宋体"/>
                <w:sz w:val="24"/>
                <w:lang w:eastAsia="zh-CN"/>
              </w:rPr>
              <w:t xml:space="preserve">供应商</w:t>
            </w:r>
            <w:r>
              <w:rPr>
                <w:rFonts w:hint="eastAsia" w:ascii="宋体" w:hAnsi="宋体" w:cs="宋体"/>
                <w:sz w:val="24"/>
              </w:rPr>
              <w:t xml:space="preserve">为本项目建立的运维方案包括但不限于：运行管理机构、运行管理制度、操作规程和培训方案的情况进行评分。</w:t>
            </w:r>
            <w:r>
              <w:rPr>
                <w:rFonts w:ascii="宋体" w:hAnsi="宋体" w:cs="宋体"/>
                <w:sz w:val="24"/>
              </w:rPr>
            </w:r>
            <w:r/>
          </w:p>
          <w:p>
            <w:pPr>
              <w:pStyle w:val="1270"/>
              <w:jc w:val="left"/>
              <w:spacing w:line="440" w:lineRule="exact"/>
              <w:widowControl/>
              <w:rPr>
                <w:rFonts w:ascii="宋体" w:hAnsi="宋体" w:cs="宋体"/>
                <w:sz w:val="24"/>
              </w:rPr>
            </w:pPr>
            <w:r>
              <w:rPr>
                <w:rFonts w:hint="eastAsia" w:ascii="宋体" w:hAnsi="宋体" w:cs="宋体"/>
                <w:sz w:val="24"/>
              </w:rPr>
              <w:t xml:space="preserve">运维方案内容全面，可操作性强，能够完全满足满足招标文件要求，得</w:t>
            </w:r>
            <w:r>
              <w:rPr>
                <w:rFonts w:hint="eastAsia" w:ascii="宋体" w:hAnsi="宋体" w:cs="宋体"/>
                <w:sz w:val="24"/>
                <w:lang w:val="en-US" w:eastAsia="zh-CN"/>
              </w:rPr>
              <w:t xml:space="preserve">8</w:t>
            </w:r>
            <w:r>
              <w:rPr>
                <w:rFonts w:hint="eastAsia" w:ascii="宋体" w:hAnsi="宋体" w:cs="宋体"/>
                <w:sz w:val="24"/>
              </w:rPr>
              <w:t xml:space="preserve">-</w:t>
            </w:r>
            <w:r>
              <w:rPr>
                <w:rFonts w:hint="eastAsia" w:ascii="宋体" w:hAnsi="宋体" w:cs="宋体"/>
                <w:sz w:val="24"/>
                <w:lang w:val="en-US" w:eastAsia="zh-CN"/>
              </w:rPr>
              <w:t xml:space="preserve">10</w:t>
            </w:r>
            <w:r>
              <w:rPr>
                <w:rFonts w:hint="eastAsia" w:ascii="宋体" w:hAnsi="宋体" w:cs="宋体"/>
                <w:sz w:val="24"/>
              </w:rPr>
              <w:t xml:space="preserve">分；</w:t>
            </w:r>
            <w:r>
              <w:rPr>
                <w:rFonts w:ascii="宋体" w:hAnsi="宋体" w:cs="宋体"/>
                <w:sz w:val="24"/>
              </w:rPr>
            </w:r>
            <w:r/>
          </w:p>
          <w:p>
            <w:pPr>
              <w:pStyle w:val="1270"/>
              <w:jc w:val="left"/>
              <w:spacing w:line="440" w:lineRule="exact"/>
              <w:widowControl/>
              <w:rPr>
                <w:rFonts w:ascii="宋体" w:hAnsi="宋体" w:cs="宋体"/>
                <w:sz w:val="24"/>
              </w:rPr>
            </w:pPr>
            <w:r>
              <w:rPr>
                <w:rFonts w:hint="eastAsia" w:ascii="宋体" w:hAnsi="宋体" w:cs="宋体"/>
                <w:sz w:val="24"/>
              </w:rPr>
              <w:t xml:space="preserve">运维方案内容基本全面，具备基本的可操作性，能基本满足招标文件要求，得</w:t>
            </w:r>
            <w:r>
              <w:rPr>
                <w:rFonts w:hint="eastAsia" w:ascii="宋体" w:hAnsi="宋体" w:cs="宋体"/>
                <w:sz w:val="24"/>
                <w:lang w:val="en-US" w:eastAsia="zh-CN"/>
              </w:rPr>
              <w:t xml:space="preserve">4</w:t>
            </w:r>
            <w:r>
              <w:rPr>
                <w:rFonts w:hint="eastAsia" w:ascii="宋体" w:hAnsi="宋体" w:cs="宋体"/>
                <w:sz w:val="24"/>
              </w:rPr>
              <w:t xml:space="preserve">-</w:t>
            </w:r>
            <w:r>
              <w:rPr>
                <w:rFonts w:hint="eastAsia" w:ascii="宋体" w:hAnsi="宋体" w:cs="宋体"/>
                <w:sz w:val="24"/>
                <w:lang w:val="en-US" w:eastAsia="zh-CN"/>
              </w:rPr>
              <w:t xml:space="preserve">7</w:t>
            </w:r>
            <w:r>
              <w:rPr>
                <w:rFonts w:hint="eastAsia" w:ascii="宋体" w:hAnsi="宋体" w:cs="宋体"/>
                <w:sz w:val="24"/>
              </w:rPr>
              <w:t xml:space="preserve">分；</w:t>
            </w:r>
            <w:r>
              <w:rPr>
                <w:rFonts w:ascii="宋体" w:hAnsi="宋体" w:cs="宋体"/>
                <w:sz w:val="24"/>
              </w:rPr>
            </w:r>
            <w:r/>
          </w:p>
          <w:p>
            <w:pPr>
              <w:pStyle w:val="1270"/>
              <w:jc w:val="left"/>
              <w:spacing w:line="440" w:lineRule="exact"/>
              <w:widowControl/>
              <w:rPr>
                <w:rFonts w:ascii="宋体" w:hAnsi="宋体" w:cs="宋体"/>
                <w:sz w:val="24"/>
              </w:rPr>
            </w:pPr>
            <w:r>
              <w:rPr>
                <w:rFonts w:hint="eastAsia" w:ascii="宋体" w:hAnsi="宋体" w:cs="宋体"/>
                <w:sz w:val="24"/>
              </w:rPr>
              <w:t xml:space="preserve">运维方案内容不够全面，可操作性不强，能部分满足满足招标文件要求，得1-</w:t>
            </w:r>
            <w:r>
              <w:rPr>
                <w:rFonts w:hint="eastAsia" w:ascii="宋体" w:hAnsi="宋体" w:cs="宋体"/>
                <w:sz w:val="24"/>
                <w:lang w:val="en-US" w:eastAsia="zh-CN"/>
              </w:rPr>
              <w:t xml:space="preserve">3</w:t>
            </w:r>
            <w:r>
              <w:rPr>
                <w:rFonts w:hint="eastAsia" w:ascii="宋体" w:hAnsi="宋体" w:cs="宋体"/>
                <w:sz w:val="24"/>
              </w:rPr>
              <w:t xml:space="preserve">分；</w:t>
            </w:r>
            <w:r>
              <w:rPr>
                <w:rFonts w:ascii="宋体" w:hAnsi="宋体" w:cs="宋体"/>
                <w:sz w:val="24"/>
              </w:rPr>
            </w:r>
            <w:r/>
          </w:p>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cs="宋体"/>
                <w:sz w:val="24"/>
              </w:rPr>
              <w:t xml:space="preserve">无运维方案或运维方案完全不能够满足招标文件要求，得0分。</w:t>
            </w:r>
            <w:r>
              <w:rPr>
                <w:rFonts w:hint="eastAsia" w:ascii="宋体" w:hAnsi="宋体" w:eastAsia="宋体" w:cs="宋体"/>
                <w:sz w:val="24"/>
                <w:szCs w:val="24"/>
              </w:rPr>
            </w:r>
            <w:r/>
          </w:p>
        </w:tc>
        <w:tc>
          <w:tcPr>
            <w:tcW w:w="698" w:type="dxa"/>
            <w:vAlign w:val="center"/>
            <w:textDirection w:val="lrTb"/>
            <w:noWrap w:val="false"/>
          </w:tcPr>
          <w:p>
            <w:pPr>
              <w:pStyle w:val="1270"/>
              <w:jc w:val="center"/>
              <w:keepLines w:val="0"/>
              <w:keepNext w:val="0"/>
              <w:pageBreakBefore w:val="0"/>
              <w:spacing w:line="44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10</w:t>
            </w:r>
            <w:r>
              <w:rPr>
                <w:rFonts w:ascii="宋体" w:hAnsi="宋体" w:eastAsia="宋体" w:cs="宋体"/>
                <w:sz w:val="24"/>
                <w:szCs w:val="24"/>
                <w:lang w:val="en-US" w:eastAsia="zh-CN"/>
              </w:rPr>
            </w:r>
            <w:r/>
          </w:p>
        </w:tc>
      </w:tr>
      <w:tr>
        <w:trPr/>
        <w:tc>
          <w:tcPr>
            <w:tcW w:w="738"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322"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82"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5479" w:type="dxa"/>
            <w:vAlign w:val="center"/>
            <w:textDirection w:val="lrTb"/>
            <w:noWrap w:val="false"/>
          </w:tcPr>
          <w:p>
            <w:pPr>
              <w:pStyle w:val="1270"/>
              <w:spacing w:line="440" w:lineRule="exact"/>
              <w:rPr>
                <w:rFonts w:ascii="宋体" w:hAnsi="宋体" w:cs="宋体"/>
                <w:bCs/>
                <w:sz w:val="24"/>
              </w:rPr>
            </w:pPr>
            <w:r>
              <w:rPr>
                <w:rFonts w:hint="eastAsia" w:ascii="宋体" w:hAnsi="宋体" w:eastAsia="宋体" w:cs="宋体"/>
                <w:sz w:val="24"/>
                <w:szCs w:val="24"/>
              </w:rPr>
              <w:t xml:space="preserve">（2）质量保证能力（</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cs="宋体"/>
                <w:sz w:val="24"/>
              </w:rPr>
              <w:t xml:space="preserve">根据</w:t>
            </w:r>
            <w:r>
              <w:rPr>
                <w:rFonts w:hint="eastAsia" w:ascii="宋体" w:hAnsi="宋体" w:cs="宋体"/>
                <w:bCs/>
                <w:sz w:val="24"/>
                <w:lang w:eastAsia="zh-CN"/>
              </w:rPr>
              <w:t xml:space="preserve">供应商</w:t>
            </w:r>
            <w:r>
              <w:rPr>
                <w:rFonts w:hint="eastAsia" w:ascii="宋体" w:hAnsi="宋体" w:cs="宋体"/>
                <w:bCs/>
                <w:sz w:val="24"/>
              </w:rPr>
              <w:t xml:space="preserve">针对需求并结合项目情况提供质控方案，需从人员、装备、仪器设备、试剂、监测环境、质量监督等方面描述如何实现质控目标(包括但不限于上述内容)进行打分。</w:t>
            </w:r>
            <w:r>
              <w:rPr>
                <w:rFonts w:ascii="宋体" w:hAnsi="宋体" w:cs="宋体"/>
                <w:bCs/>
                <w:sz w:val="24"/>
              </w:rPr>
            </w:r>
            <w:r/>
          </w:p>
          <w:p>
            <w:pPr>
              <w:pStyle w:val="1270"/>
              <w:spacing w:line="440" w:lineRule="exact"/>
              <w:rPr>
                <w:rFonts w:ascii="宋体" w:hAnsi="宋体" w:cs="宋体"/>
                <w:bCs/>
                <w:sz w:val="24"/>
              </w:rPr>
            </w:pPr>
            <w:r>
              <w:rPr>
                <w:rFonts w:hint="eastAsia" w:ascii="宋体" w:hAnsi="宋体" w:cs="宋体"/>
                <w:bCs/>
                <w:sz w:val="24"/>
              </w:rPr>
              <w:t xml:space="preserve">质控方案内容全面，可操作性强，能够完全满足招标文件要求，得</w:t>
            </w:r>
            <w:r>
              <w:rPr>
                <w:rFonts w:hint="eastAsia" w:ascii="宋体" w:hAnsi="宋体" w:cs="宋体"/>
                <w:bCs/>
                <w:sz w:val="24"/>
                <w:lang w:val="en-US" w:eastAsia="zh-CN"/>
              </w:rPr>
              <w:t xml:space="preserve">8</w:t>
            </w:r>
            <w:r>
              <w:rPr>
                <w:rFonts w:hint="eastAsia" w:ascii="宋体" w:hAnsi="宋体" w:cs="宋体"/>
                <w:bCs/>
                <w:sz w:val="24"/>
              </w:rPr>
              <w:t xml:space="preserve">-</w:t>
            </w:r>
            <w:r>
              <w:rPr>
                <w:rFonts w:hint="eastAsia" w:ascii="宋体" w:hAnsi="宋体" w:cs="宋体"/>
                <w:bCs/>
                <w:sz w:val="24"/>
                <w:lang w:val="en-US" w:eastAsia="zh-CN"/>
              </w:rPr>
              <w:t xml:space="preserve">10</w:t>
            </w:r>
            <w:r>
              <w:rPr>
                <w:rFonts w:hint="eastAsia" w:ascii="宋体" w:hAnsi="宋体" w:cs="宋体"/>
                <w:bCs/>
                <w:sz w:val="24"/>
              </w:rPr>
              <w:t xml:space="preserve">分；</w:t>
            </w:r>
            <w:r>
              <w:rPr>
                <w:rFonts w:ascii="宋体" w:hAnsi="宋体" w:cs="宋体"/>
                <w:bCs/>
                <w:sz w:val="24"/>
              </w:rPr>
            </w:r>
            <w:r/>
          </w:p>
          <w:p>
            <w:pPr>
              <w:pStyle w:val="1270"/>
              <w:spacing w:line="440" w:lineRule="exact"/>
              <w:rPr>
                <w:rFonts w:ascii="宋体" w:hAnsi="宋体" w:cs="宋体"/>
                <w:bCs/>
                <w:sz w:val="24"/>
              </w:rPr>
            </w:pPr>
            <w:r>
              <w:rPr>
                <w:rFonts w:hint="eastAsia" w:ascii="宋体" w:hAnsi="宋体" w:cs="宋体"/>
                <w:bCs/>
                <w:sz w:val="24"/>
              </w:rPr>
              <w:t xml:space="preserve">质控方案内容基本全面，具备基本的可操作性，能基本满足招标文件要求，得</w:t>
            </w:r>
            <w:r>
              <w:rPr>
                <w:rFonts w:hint="eastAsia" w:ascii="宋体" w:hAnsi="宋体" w:cs="宋体"/>
                <w:bCs/>
                <w:sz w:val="24"/>
                <w:lang w:val="en-US" w:eastAsia="zh-CN"/>
              </w:rPr>
              <w:t xml:space="preserve">4</w:t>
            </w:r>
            <w:r>
              <w:rPr>
                <w:rFonts w:hint="eastAsia" w:ascii="宋体" w:hAnsi="宋体" w:cs="宋体"/>
                <w:bCs/>
                <w:sz w:val="24"/>
              </w:rPr>
              <w:t xml:space="preserve">-</w:t>
            </w:r>
            <w:r>
              <w:rPr>
                <w:rFonts w:hint="eastAsia" w:ascii="宋体" w:hAnsi="宋体" w:cs="宋体"/>
                <w:bCs/>
                <w:sz w:val="24"/>
                <w:lang w:val="en-US" w:eastAsia="zh-CN"/>
              </w:rPr>
              <w:t xml:space="preserve">7</w:t>
            </w:r>
            <w:r>
              <w:rPr>
                <w:rFonts w:hint="eastAsia" w:ascii="宋体" w:hAnsi="宋体" w:cs="宋体"/>
                <w:bCs/>
                <w:sz w:val="24"/>
              </w:rPr>
              <w:t xml:space="preserve">分；</w:t>
            </w:r>
            <w:r>
              <w:rPr>
                <w:rFonts w:ascii="宋体" w:hAnsi="宋体" w:cs="宋体"/>
                <w:bCs/>
                <w:sz w:val="24"/>
              </w:rPr>
            </w:r>
            <w:r/>
          </w:p>
          <w:p>
            <w:pPr>
              <w:pStyle w:val="1270"/>
              <w:spacing w:line="440" w:lineRule="exact"/>
              <w:rPr>
                <w:rFonts w:ascii="宋体" w:hAnsi="宋体" w:cs="宋体"/>
                <w:bCs/>
                <w:sz w:val="24"/>
              </w:rPr>
            </w:pPr>
            <w:r>
              <w:rPr>
                <w:rFonts w:hint="eastAsia" w:ascii="宋体" w:hAnsi="宋体" w:cs="宋体"/>
                <w:bCs/>
                <w:sz w:val="24"/>
              </w:rPr>
              <w:t xml:space="preserve">质控方案内容不够全面，可操作性不强，能部分满足满足招标文件要求，得1-</w:t>
            </w:r>
            <w:r>
              <w:rPr>
                <w:rFonts w:hint="eastAsia" w:ascii="宋体" w:hAnsi="宋体" w:cs="宋体"/>
                <w:bCs/>
                <w:sz w:val="24"/>
                <w:lang w:val="en-US" w:eastAsia="zh-CN"/>
              </w:rPr>
              <w:t xml:space="preserve">3</w:t>
            </w:r>
            <w:r>
              <w:rPr>
                <w:rFonts w:hint="eastAsia" w:ascii="宋体" w:hAnsi="宋体" w:cs="宋体"/>
                <w:bCs/>
                <w:sz w:val="24"/>
              </w:rPr>
              <w:t xml:space="preserve">分；</w:t>
            </w:r>
            <w:r>
              <w:rPr>
                <w:rFonts w:ascii="宋体" w:hAnsi="宋体" w:cs="宋体"/>
                <w:bCs/>
                <w:sz w:val="24"/>
              </w:rPr>
            </w:r>
            <w:r/>
          </w:p>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cs="宋体"/>
                <w:bCs/>
                <w:sz w:val="24"/>
              </w:rPr>
              <w:t xml:space="preserve">无质控方案或质控方案完全不能够满足招标文件要求，得0分。</w:t>
            </w:r>
            <w:r>
              <w:rPr>
                <w:rFonts w:hint="eastAsia" w:ascii="宋体" w:hAnsi="宋体" w:eastAsia="宋体" w:cs="宋体"/>
                <w:sz w:val="24"/>
                <w:szCs w:val="24"/>
              </w:rPr>
            </w:r>
            <w:r/>
          </w:p>
        </w:tc>
        <w:tc>
          <w:tcPr>
            <w:tcW w:w="698" w:type="dxa"/>
            <w:vAlign w:val="center"/>
            <w:textDirection w:val="lrTb"/>
            <w:noWrap w:val="false"/>
          </w:tcPr>
          <w:p>
            <w:pPr>
              <w:pStyle w:val="1270"/>
              <w:jc w:val="center"/>
              <w:keepLines w:val="0"/>
              <w:keepNext w:val="0"/>
              <w:pageBreakBefore w:val="0"/>
              <w:spacing w:line="44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10</w:t>
            </w:r>
            <w:r>
              <w:rPr>
                <w:rFonts w:ascii="宋体" w:hAnsi="宋体" w:eastAsia="宋体" w:cs="宋体"/>
                <w:sz w:val="24"/>
                <w:szCs w:val="24"/>
                <w:lang w:val="en-US" w:eastAsia="zh-CN"/>
              </w:rPr>
            </w:r>
            <w:r/>
          </w:p>
        </w:tc>
      </w:tr>
      <w:tr>
        <w:trPr/>
        <w:tc>
          <w:tcPr>
            <w:tcW w:w="738"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322"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82"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5479" w:type="dxa"/>
            <w:vAlign w:val="center"/>
            <w:textDirection w:val="lrTb"/>
            <w:noWrap w:val="false"/>
          </w:tcPr>
          <w:p>
            <w:pPr>
              <w:pStyle w:val="1270"/>
              <w:jc w:val="left"/>
              <w:spacing w:line="440" w:lineRule="exact"/>
              <w:widowControl/>
              <w:rPr>
                <w:rFonts w:ascii="宋体" w:hAnsi="宋体" w:cs="宋体"/>
                <w:sz w:val="24"/>
              </w:rPr>
            </w:pPr>
            <w:r>
              <w:rPr>
                <w:rFonts w:hint="eastAsia" w:ascii="宋体" w:hAnsi="宋体" w:eastAsia="宋体" w:cs="宋体"/>
                <w:sz w:val="24"/>
                <w:szCs w:val="24"/>
              </w:rPr>
              <w:t xml:space="preserve">（3）</w:t>
            </w:r>
            <w:r>
              <w:rPr>
                <w:rFonts w:hint="eastAsia" w:ascii="宋体" w:hAnsi="宋体" w:cs="宋体"/>
                <w:sz w:val="24"/>
              </w:rPr>
              <w:t xml:space="preserve">应急方案</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cs="宋体"/>
                <w:sz w:val="24"/>
              </w:rPr>
              <w:t xml:space="preserve">针对需求并结合本项目情况，</w:t>
            </w:r>
            <w:r>
              <w:rPr>
                <w:rFonts w:hint="eastAsia" w:ascii="宋体" w:hAnsi="宋体" w:cs="宋体"/>
                <w:sz w:val="24"/>
                <w:lang w:eastAsia="zh-CN"/>
              </w:rPr>
              <w:t xml:space="preserve">供应商</w:t>
            </w:r>
            <w:r>
              <w:rPr>
                <w:rFonts w:hint="eastAsia" w:ascii="宋体" w:hAnsi="宋体" w:cs="宋体"/>
                <w:sz w:val="24"/>
              </w:rPr>
              <w:t xml:space="preserve">制定突发事件应急方案,内容至少应包括职责分工、异常数据识别办法、异常数据响应办法、应急监测流程、人工采/送样流程及质量保障措施、污染事故应急监测方案、补充监测方案等内容进行评分。</w:t>
            </w:r>
            <w:r>
              <w:rPr>
                <w:rFonts w:ascii="宋体" w:hAnsi="宋体" w:cs="宋体"/>
                <w:sz w:val="24"/>
              </w:rPr>
            </w:r>
            <w:r/>
          </w:p>
          <w:p>
            <w:pPr>
              <w:pStyle w:val="1270"/>
              <w:jc w:val="left"/>
              <w:spacing w:line="440" w:lineRule="exact"/>
              <w:widowControl/>
              <w:rPr>
                <w:rFonts w:ascii="宋体" w:hAnsi="宋体" w:cs="宋体"/>
                <w:sz w:val="24"/>
              </w:rPr>
            </w:pPr>
            <w:r>
              <w:rPr>
                <w:rFonts w:hint="eastAsia" w:ascii="宋体" w:hAnsi="宋体" w:cs="宋体"/>
                <w:sz w:val="24"/>
              </w:rPr>
              <w:t xml:space="preserve">应急方案措施有效，考虑全面，可操作性强，能够完全满足招标文件要求，得</w:t>
            </w:r>
            <w:r>
              <w:rPr>
                <w:rFonts w:hint="eastAsia" w:ascii="宋体" w:hAnsi="宋体" w:cs="宋体"/>
                <w:sz w:val="24"/>
                <w:lang w:val="en-US" w:eastAsia="zh-CN"/>
              </w:rPr>
              <w:t xml:space="preserve">8</w:t>
            </w:r>
            <w:r>
              <w:rPr>
                <w:rFonts w:hint="eastAsia" w:ascii="宋体" w:hAnsi="宋体" w:cs="宋体"/>
                <w:sz w:val="24"/>
              </w:rPr>
              <w:t xml:space="preserve">-</w:t>
            </w:r>
            <w:r>
              <w:rPr>
                <w:rFonts w:hint="eastAsia" w:ascii="宋体" w:hAnsi="宋体" w:cs="宋体"/>
                <w:sz w:val="24"/>
                <w:lang w:val="en-US" w:eastAsia="zh-CN"/>
              </w:rPr>
              <w:t xml:space="preserve">10</w:t>
            </w:r>
            <w:r>
              <w:rPr>
                <w:rFonts w:hint="eastAsia" w:ascii="宋体" w:hAnsi="宋体" w:cs="宋体"/>
                <w:sz w:val="24"/>
              </w:rPr>
              <w:t xml:space="preserve">分；</w:t>
            </w:r>
            <w:r>
              <w:rPr>
                <w:rFonts w:ascii="宋体" w:hAnsi="宋体" w:cs="宋体"/>
                <w:sz w:val="24"/>
              </w:rPr>
            </w:r>
            <w:r/>
          </w:p>
          <w:p>
            <w:pPr>
              <w:pStyle w:val="1270"/>
              <w:jc w:val="left"/>
              <w:spacing w:line="440" w:lineRule="exact"/>
              <w:widowControl/>
              <w:rPr>
                <w:rFonts w:ascii="宋体" w:hAnsi="宋体" w:cs="宋体"/>
                <w:sz w:val="24"/>
              </w:rPr>
            </w:pPr>
            <w:r>
              <w:rPr>
                <w:rFonts w:hint="eastAsia" w:ascii="宋体" w:hAnsi="宋体" w:cs="宋体"/>
                <w:sz w:val="24"/>
              </w:rPr>
              <w:t xml:space="preserve">应急方案措施基本有效，考虑不够全面，具备基本的可操作性，能基本满足招标文件要求，得</w:t>
            </w:r>
            <w:r>
              <w:rPr>
                <w:rFonts w:hint="eastAsia" w:ascii="宋体" w:hAnsi="宋体" w:cs="宋体"/>
                <w:sz w:val="24"/>
                <w:lang w:val="en-US" w:eastAsia="zh-CN"/>
              </w:rPr>
              <w:t xml:space="preserve">4</w:t>
            </w:r>
            <w:r>
              <w:rPr>
                <w:rFonts w:hint="eastAsia" w:ascii="宋体" w:hAnsi="宋体" w:cs="宋体"/>
                <w:sz w:val="24"/>
              </w:rPr>
              <w:t xml:space="preserve">-</w:t>
            </w:r>
            <w:r>
              <w:rPr>
                <w:rFonts w:hint="eastAsia" w:ascii="宋体" w:hAnsi="宋体" w:cs="宋体"/>
                <w:sz w:val="24"/>
                <w:lang w:val="en-US" w:eastAsia="zh-CN"/>
              </w:rPr>
              <w:t xml:space="preserve">7</w:t>
            </w:r>
            <w:r>
              <w:rPr>
                <w:rFonts w:hint="eastAsia" w:ascii="宋体" w:hAnsi="宋体" w:cs="宋体"/>
                <w:sz w:val="24"/>
              </w:rPr>
              <w:t xml:space="preserve">分；</w:t>
            </w:r>
            <w:r>
              <w:rPr>
                <w:rFonts w:ascii="宋体" w:hAnsi="宋体" w:cs="宋体"/>
                <w:sz w:val="24"/>
              </w:rPr>
            </w:r>
            <w:r/>
          </w:p>
          <w:p>
            <w:pPr>
              <w:pStyle w:val="1270"/>
              <w:jc w:val="left"/>
              <w:spacing w:line="440" w:lineRule="exact"/>
              <w:widowControl/>
              <w:rPr>
                <w:rFonts w:ascii="宋体" w:hAnsi="宋体" w:cs="宋体"/>
                <w:sz w:val="24"/>
              </w:rPr>
            </w:pPr>
            <w:r>
              <w:rPr>
                <w:rFonts w:hint="eastAsia" w:ascii="宋体" w:hAnsi="宋体" w:cs="宋体"/>
                <w:sz w:val="24"/>
              </w:rPr>
              <w:t xml:space="preserve">应急方案措施不准确，考虑欠缺较多，可操作性不强，能部分满足招标文件要求，得1-</w:t>
            </w:r>
            <w:r>
              <w:rPr>
                <w:rFonts w:hint="eastAsia" w:ascii="宋体" w:hAnsi="宋体" w:cs="宋体"/>
                <w:sz w:val="24"/>
                <w:lang w:val="en-US" w:eastAsia="zh-CN"/>
              </w:rPr>
              <w:t xml:space="preserve">3</w:t>
            </w:r>
            <w:r>
              <w:rPr>
                <w:rFonts w:hint="eastAsia" w:ascii="宋体" w:hAnsi="宋体" w:cs="宋体"/>
                <w:sz w:val="24"/>
              </w:rPr>
              <w:t xml:space="preserve">分；</w:t>
            </w:r>
            <w:r>
              <w:rPr>
                <w:rFonts w:ascii="宋体" w:hAnsi="宋体" w:cs="宋体"/>
                <w:sz w:val="24"/>
              </w:rPr>
            </w:r>
            <w:r/>
          </w:p>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cs="宋体"/>
                <w:sz w:val="24"/>
              </w:rPr>
              <w:t xml:space="preserve">无应急方案，或应急方案完全不满足招标文件要求，得0分。</w:t>
            </w:r>
            <w:r>
              <w:rPr>
                <w:rFonts w:hint="eastAsia" w:ascii="宋体" w:hAnsi="宋体" w:eastAsia="宋体" w:cs="宋体"/>
                <w:sz w:val="24"/>
                <w:szCs w:val="24"/>
              </w:rPr>
            </w:r>
            <w:r/>
          </w:p>
        </w:tc>
        <w:tc>
          <w:tcPr>
            <w:tcW w:w="698" w:type="dxa"/>
            <w:vAlign w:val="center"/>
            <w:textDirection w:val="lrTb"/>
            <w:noWrap w:val="false"/>
          </w:tcPr>
          <w:p>
            <w:pPr>
              <w:pStyle w:val="1270"/>
              <w:jc w:val="center"/>
              <w:keepLines w:val="0"/>
              <w:keepNext w:val="0"/>
              <w:pageBreakBefore w:val="0"/>
              <w:spacing w:line="44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10</w:t>
            </w:r>
            <w:r>
              <w:rPr>
                <w:rFonts w:ascii="宋体" w:hAnsi="宋体" w:eastAsia="宋体" w:cs="宋体"/>
                <w:sz w:val="24"/>
                <w:szCs w:val="24"/>
                <w:lang w:val="en-US" w:eastAsia="zh-CN"/>
              </w:rPr>
            </w:r>
            <w:r/>
          </w:p>
        </w:tc>
      </w:tr>
      <w:tr>
        <w:trPr/>
        <w:tc>
          <w:tcPr>
            <w:tcW w:w="738"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322"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82"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5479" w:type="dxa"/>
            <w:vAlign w:val="center"/>
            <w:textDirection w:val="lrTb"/>
            <w:noWrap w:val="false"/>
          </w:tcPr>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（4）设备保障（</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cs="宋体"/>
                <w:sz w:val="24"/>
              </w:rPr>
              <w:t xml:space="preserve">根据</w:t>
            </w:r>
            <w:r>
              <w:rPr>
                <w:rFonts w:hint="eastAsia" w:ascii="宋体" w:hAnsi="宋体" w:cs="宋体"/>
                <w:sz w:val="24"/>
                <w:lang w:eastAsia="zh-CN"/>
              </w:rPr>
              <w:t xml:space="preserve">供应商</w:t>
            </w:r>
            <w:r>
              <w:rPr>
                <w:rFonts w:hint="eastAsia" w:ascii="宋体" w:hAnsi="宋体" w:cs="宋体"/>
                <w:sz w:val="24"/>
              </w:rPr>
              <w:t xml:space="preserve">提供的便携仪器设备应具备测定水温、pH值、溶解氧、电导率、浊度的功能的得</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eastAsia="宋体" w:cs="宋体"/>
                <w:sz w:val="24"/>
                <w:szCs w:val="24"/>
              </w:rPr>
              <w:t xml:space="preserve">【</w:t>
            </w:r>
            <w:r>
              <w:rPr>
                <w:rFonts w:hint="eastAsia" w:ascii="宋体" w:hAnsi="宋体" w:cs="宋体"/>
                <w:sz w:val="24"/>
              </w:rPr>
              <w:t xml:space="preserve">提供</w:t>
            </w:r>
            <w:r>
              <w:rPr>
                <w:rFonts w:hint="eastAsia" w:ascii="宋体" w:hAnsi="宋体" w:cs="宋体"/>
                <w:sz w:val="24"/>
                <w:lang w:val="en-US" w:eastAsia="zh-CN"/>
              </w:rPr>
              <w:t xml:space="preserve">设备校准证书、</w:t>
            </w:r>
            <w:r>
              <w:rPr>
                <w:rFonts w:hint="eastAsia" w:ascii="宋体" w:hAnsi="宋体" w:cs="宋体"/>
                <w:sz w:val="24"/>
              </w:rPr>
              <w:t xml:space="preserve">采购发票</w:t>
            </w:r>
            <w:r>
              <w:rPr>
                <w:rFonts w:hint="eastAsia" w:ascii="宋体" w:hAnsi="宋体" w:cs="宋体"/>
                <w:sz w:val="24"/>
                <w:lang w:val="en-US" w:eastAsia="zh-CN"/>
              </w:rPr>
              <w:t xml:space="preserve">或</w:t>
            </w:r>
            <w:r>
              <w:rPr>
                <w:rFonts w:hint="eastAsia" w:ascii="宋体" w:hAnsi="宋体" w:cs="宋体"/>
                <w:sz w:val="24"/>
              </w:rPr>
              <w:t xml:space="preserve">采购合同证明的复印件加盖公章</w:t>
            </w:r>
            <w:r>
              <w:rPr>
                <w:rFonts w:hint="eastAsia" w:ascii="宋体" w:hAnsi="宋体" w:eastAsia="宋体" w:cs="宋体"/>
                <w:sz w:val="24"/>
                <w:szCs w:val="24"/>
              </w:rPr>
              <w:t xml:space="preserve">】</w:t>
            </w:r>
            <w:r>
              <w:rPr>
                <w:rFonts w:hint="eastAsia" w:ascii="宋体" w:hAnsi="宋体" w:eastAsia="宋体" w:cs="宋体"/>
                <w:sz w:val="24"/>
                <w:szCs w:val="24"/>
              </w:rPr>
            </w:r>
            <w:r/>
          </w:p>
        </w:tc>
        <w:tc>
          <w:tcPr>
            <w:tcW w:w="698"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r>
            <w:r/>
          </w:p>
        </w:tc>
      </w:tr>
    </w:tbl>
    <w:p>
      <w:pPr>
        <w:pStyle w:val="1270"/>
        <w:rPr>
          <w:rFonts w:hint="eastAsia"/>
        </w:rPr>
      </w:pPr>
      <w:r>
        <w:rPr>
          <w:rFonts w:hint="eastAsia"/>
        </w:rPr>
      </w:r>
      <w:r/>
    </w:p>
    <w:p>
      <w:pPr>
        <w:pStyle w:val="1270"/>
        <w:rPr>
          <w:rFonts w:hint="eastAsia"/>
          <w:sz w:val="24"/>
        </w:rPr>
      </w:pPr>
      <w:r>
        <w:rPr>
          <w:rFonts w:hint="eastAsia"/>
          <w:sz w:val="24"/>
        </w:rPr>
        <w:t xml:space="preserve">采购包二： </w:t>
      </w:r>
      <w:r>
        <w:rPr>
          <w:rFonts w:hint="eastAsia"/>
          <w:sz w:val="24"/>
        </w:rPr>
      </w:r>
      <w:r/>
    </w:p>
    <w:tbl>
      <w:tblPr>
        <w:tblW w:w="5078"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6"/>
        <w:gridCol w:w="1445"/>
        <w:gridCol w:w="1328"/>
        <w:gridCol w:w="5386"/>
        <w:gridCol w:w="695"/>
      </w:tblGrid>
      <w:tr>
        <w:trPr/>
        <w:tc>
          <w:tcPr>
            <w:tcW w:w="384"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753"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评分内容</w:t>
            </w:r>
            <w:r>
              <w:rPr>
                <w:rFonts w:hint="eastAsia" w:ascii="宋体" w:hAnsi="宋体" w:eastAsia="宋体" w:cs="宋体"/>
                <w:b/>
                <w:bCs/>
                <w:sz w:val="24"/>
                <w:szCs w:val="24"/>
              </w:rPr>
            </w:r>
            <w:r/>
          </w:p>
        </w:tc>
        <w:tc>
          <w:tcPr>
            <w:tcW w:w="69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评分因素</w:t>
            </w:r>
            <w:r>
              <w:rPr>
                <w:rFonts w:hint="eastAsia" w:ascii="宋体" w:hAnsi="宋体" w:eastAsia="宋体" w:cs="宋体"/>
                <w:b/>
                <w:bCs/>
                <w:sz w:val="24"/>
                <w:szCs w:val="24"/>
              </w:rPr>
            </w:r>
            <w:r/>
          </w:p>
        </w:tc>
        <w:tc>
          <w:tcPr>
            <w:tcW w:w="2807"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rPr>
                <w:rFonts w:hint="eastAsia" w:ascii="宋体" w:hAnsi="宋体" w:eastAsia="宋体" w:cs="宋体"/>
                <w:b/>
                <w:bCs/>
                <w:sz w:val="24"/>
                <w:szCs w:val="24"/>
              </w:rPr>
            </w:r>
            <w:r/>
          </w:p>
        </w:tc>
        <w:tc>
          <w:tcPr>
            <w:tcW w:w="36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分值</w:t>
            </w:r>
            <w:r>
              <w:rPr>
                <w:rFonts w:hint="eastAsia" w:ascii="宋体" w:hAnsi="宋体" w:eastAsia="宋体" w:cs="宋体"/>
                <w:b/>
                <w:bCs/>
                <w:sz w:val="24"/>
                <w:szCs w:val="24"/>
              </w:rPr>
            </w:r>
            <w:r/>
          </w:p>
        </w:tc>
      </w:tr>
      <w:tr>
        <w:trPr/>
        <w:tc>
          <w:tcPr>
            <w:tcW w:w="384"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753"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报价</w:t>
            </w:r>
            <w:r>
              <w:rPr>
                <w:rFonts w:hint="eastAsia" w:ascii="宋体" w:hAnsi="宋体" w:eastAsia="宋体" w:cs="宋体"/>
                <w:sz w:val="24"/>
                <w:szCs w:val="24"/>
              </w:rPr>
            </w:r>
            <w:r/>
          </w:p>
        </w:tc>
        <w:tc>
          <w:tcPr>
            <w:tcW w:w="69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投标报价</w:t>
            </w:r>
            <w:r>
              <w:rPr>
                <w:rFonts w:hint="eastAsia" w:ascii="宋体" w:hAnsi="宋体" w:eastAsia="宋体" w:cs="宋体"/>
                <w:sz w:val="24"/>
                <w:szCs w:val="24"/>
              </w:rPr>
            </w:r>
            <w:r/>
          </w:p>
        </w:tc>
        <w:tc>
          <w:tcPr>
            <w:tcW w:w="2807" w:type="dxa"/>
            <w:vAlign w:val="center"/>
            <w:textDirection w:val="lrTb"/>
            <w:noWrap w:val="false"/>
          </w:tcPr>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各投标供应商的有效投标报价，满足招标文件要求且经评审的投标价格有效的最低投标报价为评标基准价，其价格为15分。其他投标供应商的价格分统一按照下列公式计算，最高得分为15分：</w:t>
            </w:r>
            <w:r>
              <w:rPr>
                <w:rFonts w:hint="eastAsia" w:ascii="宋体" w:hAnsi="宋体" w:eastAsia="宋体" w:cs="宋体"/>
                <w:sz w:val="24"/>
                <w:szCs w:val="24"/>
              </w:rPr>
            </w:r>
            <w:r/>
          </w:p>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bCs/>
                <w:sz w:val="24"/>
                <w:szCs w:val="24"/>
              </w:rPr>
              <w:t xml:space="preserve">投标报价得分=(评标基准价／投标报价)×价格权值×100</w:t>
            </w:r>
            <w:r>
              <w:rPr>
                <w:rFonts w:hint="eastAsia" w:ascii="宋体" w:hAnsi="宋体" w:eastAsia="宋体" w:cs="宋体"/>
                <w:sz w:val="24"/>
                <w:szCs w:val="24"/>
              </w:rPr>
            </w:r>
            <w:r/>
          </w:p>
        </w:tc>
        <w:tc>
          <w:tcPr>
            <w:tcW w:w="36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r>
      <w:tr>
        <w:trPr/>
        <w:tc>
          <w:tcPr>
            <w:tcW w:w="384" w:type="dxa"/>
            <w:vAlign w:val="center"/>
            <w:vMerge w:val="restart"/>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753" w:type="dxa"/>
            <w:vAlign w:val="center"/>
            <w:vMerge w:val="restart"/>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投标供应商评价</w:t>
            </w:r>
            <w:r>
              <w:rPr>
                <w:rFonts w:hint="eastAsia" w:ascii="宋体" w:hAnsi="宋体" w:eastAsia="宋体" w:cs="宋体"/>
                <w:sz w:val="24"/>
                <w:szCs w:val="24"/>
              </w:rPr>
            </w:r>
            <w:r/>
          </w:p>
        </w:tc>
        <w:tc>
          <w:tcPr>
            <w:tcW w:w="69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企业资质、信誉</w:t>
            </w:r>
            <w:r>
              <w:rPr>
                <w:rFonts w:hint="eastAsia" w:ascii="宋体" w:hAnsi="宋体" w:eastAsia="宋体" w:cs="宋体"/>
                <w:sz w:val="24"/>
                <w:szCs w:val="24"/>
              </w:rPr>
            </w:r>
            <w:r/>
          </w:p>
        </w:tc>
        <w:tc>
          <w:tcPr>
            <w:tcW w:w="2807" w:type="dxa"/>
            <w:vAlign w:val="center"/>
            <w:textDirection w:val="lrTb"/>
            <w:noWrap w:val="false"/>
          </w:tcPr>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（1）投标供应商通过质量管理体系认证得1分【提供认证证书电子件加盖公章，未按要求提供不得分】</w:t>
            </w:r>
            <w:r>
              <w:rPr>
                <w:rFonts w:hint="eastAsia" w:ascii="宋体" w:hAnsi="宋体" w:eastAsia="宋体" w:cs="宋体"/>
                <w:sz w:val="24"/>
                <w:szCs w:val="24"/>
              </w:rPr>
            </w:r>
            <w:r/>
          </w:p>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（2）投标供应商通过环境管理体系认证得1分【提供认证证书电子件加盖公章，未按要求提供不得分】</w:t>
            </w:r>
            <w:r>
              <w:rPr>
                <w:rFonts w:hint="eastAsia" w:ascii="宋体" w:hAnsi="宋体" w:eastAsia="宋体" w:cs="宋体"/>
                <w:sz w:val="24"/>
                <w:szCs w:val="24"/>
              </w:rPr>
            </w:r>
            <w:r/>
          </w:p>
          <w:p>
            <w:pPr>
              <w:pStyle w:val="1724"/>
              <w:ind w:left="0" w:firstLine="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（3）投标供应商通过职业健康安全管理体系认证得1分【提供认证证书电子件加盖公章装订进入投标文件，未按要求提供不得分】</w:t>
            </w:r>
            <w:r>
              <w:rPr>
                <w:rFonts w:hint="eastAsia" w:ascii="宋体" w:hAnsi="宋体" w:eastAsia="宋体" w:cs="宋体"/>
                <w:sz w:val="24"/>
                <w:szCs w:val="24"/>
              </w:rPr>
            </w:r>
            <w:r/>
          </w:p>
          <w:p>
            <w:pPr>
              <w:pStyle w:val="1724"/>
              <w:ind w:left="0" w:firstLine="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（4）投标供应商通过信息安全管理体系认证得1分【提供认证证书电子件加盖公章，未按要求提供不得分】</w:t>
            </w:r>
            <w:r>
              <w:rPr>
                <w:rFonts w:hint="eastAsia" w:ascii="宋体" w:hAnsi="宋体" w:eastAsia="宋体" w:cs="宋体"/>
                <w:sz w:val="24"/>
                <w:szCs w:val="24"/>
              </w:rPr>
            </w:r>
            <w:r/>
          </w:p>
          <w:p>
            <w:pPr>
              <w:pStyle w:val="1724"/>
              <w:ind w:left="0" w:firstLine="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（5）供应商具有测量管理体系（AAA）认证证书，通过认证的范围为涉及运维服务的得1分【提供认证证书电子件加盖公章，未按要求提供不得分】</w:t>
            </w:r>
            <w:r>
              <w:rPr>
                <w:rFonts w:hint="eastAsia" w:ascii="宋体" w:hAnsi="宋体" w:eastAsia="宋体" w:cs="宋体"/>
                <w:sz w:val="24"/>
                <w:szCs w:val="24"/>
              </w:rPr>
            </w:r>
            <w:r/>
          </w:p>
          <w:p>
            <w:pPr>
              <w:pStyle w:val="1724"/>
              <w:ind w:left="0" w:firstLine="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（6）供应商具有智慧环境大数据类、空气环境质量在线监测大数据系统类、大气环境智能监测平台类计算机软件著作权登记证书的，每个得1分，最高得3分。【提供相证书电子件并加盖公章，未提供的不得分】</w:t>
            </w:r>
            <w:r>
              <w:rPr>
                <w:rFonts w:hint="eastAsia" w:ascii="宋体" w:hAnsi="宋体" w:eastAsia="宋体" w:cs="宋体"/>
                <w:sz w:val="24"/>
                <w:szCs w:val="24"/>
              </w:rPr>
            </w:r>
            <w:r/>
          </w:p>
          <w:p>
            <w:pPr>
              <w:pStyle w:val="1724"/>
              <w:ind w:left="0" w:firstLine="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（7）供应商环境监测类项目获得过省级及以上相关部门颁发的荣誉、奖项或表彰的得3分。【提供证明材料电子件加盖公章，未提供的不得分】</w:t>
            </w:r>
            <w:r>
              <w:rPr>
                <w:rFonts w:hint="eastAsia" w:ascii="宋体" w:hAnsi="宋体" w:eastAsia="宋体" w:cs="宋体"/>
                <w:sz w:val="24"/>
                <w:szCs w:val="24"/>
              </w:rPr>
            </w:r>
            <w:r/>
          </w:p>
        </w:tc>
        <w:tc>
          <w:tcPr>
            <w:tcW w:w="36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r>
      <w:tr>
        <w:trPr/>
        <w:tc>
          <w:tcPr>
            <w:tcW w:w="384"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753"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69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sz w:val="24"/>
                <w:szCs w:val="24"/>
              </w:rPr>
              <w:t xml:space="preserve">业绩</w:t>
            </w:r>
            <w:r>
              <w:rPr>
                <w:rFonts w:hint="eastAsia" w:ascii="宋体" w:hAnsi="宋体" w:eastAsia="宋体" w:cs="宋体"/>
                <w:b/>
                <w:bCs/>
                <w:sz w:val="24"/>
                <w:szCs w:val="24"/>
              </w:rPr>
            </w:r>
            <w:r/>
          </w:p>
        </w:tc>
        <w:tc>
          <w:tcPr>
            <w:tcW w:w="2807" w:type="dxa"/>
            <w:vAlign w:val="center"/>
            <w:textDirection w:val="lrTb"/>
            <w:noWrap w:val="false"/>
          </w:tcPr>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cs="宋体"/>
                <w:sz w:val="24"/>
                <w:lang w:eastAsia="zh-CN"/>
              </w:rPr>
              <w:t xml:space="preserve">供应商</w:t>
            </w:r>
            <w:r>
              <w:rPr>
                <w:rFonts w:hint="eastAsia" w:ascii="宋体" w:hAnsi="宋体" w:cs="宋体"/>
                <w:sz w:val="24"/>
              </w:rPr>
              <w:t xml:space="preserve">202</w:t>
            </w:r>
            <w:r>
              <w:rPr>
                <w:rFonts w:hint="eastAsia" w:ascii="宋体" w:hAnsi="宋体" w:cs="宋体"/>
                <w:sz w:val="24"/>
                <w:lang w:val="en-US" w:eastAsia="zh-CN"/>
              </w:rPr>
              <w:t xml:space="preserve">3</w:t>
            </w:r>
            <w:r>
              <w:rPr>
                <w:rFonts w:hint="eastAsia" w:ascii="宋体" w:hAnsi="宋体" w:cs="宋体"/>
                <w:sz w:val="24"/>
              </w:rPr>
              <w:t xml:space="preserve">年1月1日以来</w:t>
            </w:r>
            <w:r>
              <w:rPr>
                <w:rFonts w:hint="eastAsia" w:ascii="宋体" w:hAnsi="宋体" w:cs="宋体"/>
                <w:sz w:val="24"/>
                <w:lang w:val="en-US" w:eastAsia="zh-CN"/>
              </w:rPr>
              <w:t xml:space="preserve">承担空气</w:t>
            </w:r>
            <w:r>
              <w:rPr>
                <w:rFonts w:hint="eastAsia" w:ascii="宋体" w:hAnsi="宋体" w:cs="宋体"/>
                <w:sz w:val="24"/>
              </w:rPr>
              <w:t xml:space="preserve">自动站运维业绩（至少含1年运维服务），每提供一份得2分，最高得</w:t>
            </w:r>
            <w:r>
              <w:rPr>
                <w:rFonts w:hint="eastAsia" w:ascii="宋体" w:hAnsi="宋体" w:cs="宋体"/>
                <w:sz w:val="24"/>
                <w:lang w:val="en-US" w:eastAsia="zh-CN"/>
              </w:rPr>
              <w:t xml:space="preserve">12</w:t>
            </w:r>
            <w:r>
              <w:rPr>
                <w:rFonts w:hint="eastAsia" w:ascii="宋体" w:hAnsi="宋体" w:cs="宋体"/>
                <w:sz w:val="24"/>
              </w:rPr>
              <w:t xml:space="preserve">分。</w:t>
            </w:r>
            <w:r>
              <w:rPr>
                <w:rFonts w:hint="eastAsia" w:ascii="宋体" w:hAnsi="宋体" w:eastAsia="宋体" w:cs="宋体"/>
                <w:sz w:val="24"/>
                <w:szCs w:val="24"/>
              </w:rPr>
              <w:t xml:space="preserve">【</w:t>
            </w:r>
            <w:r>
              <w:rPr>
                <w:rFonts w:hint="eastAsia" w:ascii="宋体" w:hAnsi="宋体" w:cs="宋体"/>
                <w:sz w:val="24"/>
              </w:rPr>
              <w:t xml:space="preserve">提供运维合同复印件加盖公章装订在响应文件中，以合同签订时间为准。注：同一份合同分年度签订的，算作1份业绩</w:t>
            </w:r>
            <w:r>
              <w:rPr>
                <w:rFonts w:hint="eastAsia" w:ascii="宋体" w:hAnsi="宋体" w:eastAsia="宋体" w:cs="宋体"/>
                <w:sz w:val="24"/>
                <w:szCs w:val="24"/>
              </w:rPr>
              <w:t xml:space="preserve">】</w:t>
            </w:r>
            <w:r>
              <w:rPr>
                <w:rFonts w:hint="eastAsia" w:ascii="宋体" w:hAnsi="宋体" w:eastAsia="宋体" w:cs="宋体"/>
                <w:sz w:val="24"/>
                <w:szCs w:val="24"/>
              </w:rPr>
            </w:r>
            <w:r/>
          </w:p>
        </w:tc>
        <w:tc>
          <w:tcPr>
            <w:tcW w:w="362" w:type="dxa"/>
            <w:vAlign w:val="center"/>
            <w:textDirection w:val="lrTb"/>
            <w:noWrap w:val="false"/>
          </w:tcPr>
          <w:p>
            <w:pPr>
              <w:pStyle w:val="1270"/>
              <w:jc w:val="center"/>
              <w:keepLines w:val="0"/>
              <w:keepNext w:val="0"/>
              <w:pageBreakBefore w:val="0"/>
              <w:spacing w:line="44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ascii="宋体" w:hAnsi="宋体" w:eastAsia="宋体" w:cs="宋体"/>
                <w:sz w:val="24"/>
                <w:szCs w:val="24"/>
                <w:lang w:val="en-US" w:eastAsia="zh-CN"/>
              </w:rPr>
            </w:r>
            <w:r/>
          </w:p>
        </w:tc>
      </w:tr>
      <w:tr>
        <w:trPr/>
        <w:tc>
          <w:tcPr>
            <w:tcW w:w="384"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753"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69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运维服务满意度</w:t>
            </w:r>
            <w:r>
              <w:rPr>
                <w:rFonts w:hint="eastAsia" w:ascii="宋体" w:hAnsi="宋体" w:eastAsia="宋体" w:cs="宋体"/>
                <w:sz w:val="24"/>
                <w:szCs w:val="24"/>
              </w:rPr>
            </w:r>
            <w:r/>
          </w:p>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2807" w:type="dxa"/>
            <w:vAlign w:val="center"/>
            <w:textDirection w:val="lrTb"/>
            <w:noWrap w:val="false"/>
          </w:tcPr>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供应商2023年1月1日以来空气自动站运维能力比较，用户满意度评价（满意及以上），每个用户得1分，最高得6分【提供用户满意度评价电子件加盖公章，否则不得分】</w:t>
            </w:r>
            <w:r>
              <w:rPr>
                <w:rFonts w:hint="eastAsia" w:ascii="宋体" w:hAnsi="宋体" w:eastAsia="宋体" w:cs="宋体"/>
                <w:sz w:val="24"/>
                <w:szCs w:val="24"/>
              </w:rPr>
            </w:r>
            <w:r/>
          </w:p>
        </w:tc>
        <w:tc>
          <w:tcPr>
            <w:tcW w:w="36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r>
      <w:tr>
        <w:trPr/>
        <w:tc>
          <w:tcPr>
            <w:tcW w:w="384"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753"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69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sz w:val="24"/>
                <w:szCs w:val="24"/>
              </w:rPr>
              <w:t xml:space="preserve">项目质量控制</w:t>
            </w:r>
            <w:r>
              <w:rPr>
                <w:rFonts w:hint="eastAsia" w:ascii="宋体" w:hAnsi="宋体" w:eastAsia="宋体" w:cs="宋体"/>
                <w:b/>
                <w:bCs/>
                <w:sz w:val="24"/>
                <w:szCs w:val="24"/>
              </w:rPr>
            </w:r>
            <w:r/>
          </w:p>
        </w:tc>
        <w:tc>
          <w:tcPr>
            <w:tcW w:w="2807" w:type="dxa"/>
            <w:vAlign w:val="center"/>
            <w:textDirection w:val="lrTb"/>
            <w:noWrap w:val="false"/>
          </w:tcPr>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供应商本身有用于质量控制的CMA实验室且在“江苏省社会环境检测机构信息管理平台”登记、公开检测能力得5分；投标供应商本身无实验室，在省内有委托第三方实验室（提供的CMA资质认定证书上单位名称和供应商不一致的，均视为委托实验室）的得3分；没有实验室且未委托实验室的不得分。实验室认证范围存至少包含监测参数情况（SO2、NO2、CO、PM10、PM2.5、O3），缺1项扣0.5分，扣完为止【提供平台登记证明、委托协议、实验室资质证书及涵盖本项目指标的计量认证电子件加盖公章，未按要求提供不得分】</w:t>
            </w:r>
            <w:r>
              <w:rPr>
                <w:rFonts w:hint="eastAsia" w:ascii="宋体" w:hAnsi="宋体" w:eastAsia="宋体" w:cs="宋体"/>
                <w:sz w:val="24"/>
                <w:szCs w:val="24"/>
              </w:rPr>
            </w:r>
            <w:r/>
          </w:p>
        </w:tc>
        <w:tc>
          <w:tcPr>
            <w:tcW w:w="36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r>
      <w:tr>
        <w:trPr/>
        <w:tc>
          <w:tcPr>
            <w:tcW w:w="384"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753"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69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sz w:val="24"/>
                <w:szCs w:val="24"/>
              </w:rPr>
              <w:t xml:space="preserve">项目技术人员配备情况</w:t>
            </w:r>
            <w:r>
              <w:rPr>
                <w:rFonts w:hint="eastAsia" w:ascii="宋体" w:hAnsi="宋体" w:eastAsia="宋体" w:cs="宋体"/>
                <w:b/>
                <w:bCs/>
                <w:sz w:val="24"/>
                <w:szCs w:val="24"/>
              </w:rPr>
            </w:r>
            <w:r/>
          </w:p>
        </w:tc>
        <w:tc>
          <w:tcPr>
            <w:tcW w:w="2807" w:type="dxa"/>
            <w:vAlign w:val="center"/>
            <w:textDirection w:val="lrTb"/>
            <w:noWrap w:val="false"/>
          </w:tcPr>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项目技术人员配备情况（12分）</w:t>
            </w:r>
            <w:r>
              <w:rPr>
                <w:rFonts w:hint="eastAsia" w:ascii="宋体" w:hAnsi="宋体" w:eastAsia="宋体" w:cs="宋体"/>
                <w:sz w:val="24"/>
                <w:szCs w:val="24"/>
              </w:rPr>
            </w:r>
            <w:r/>
          </w:p>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rPr>
              <w:t xml:space="preserve">供应商拟投入该项目的项目经理具备环境类高级职称的得基础分1分；项目经理具备环境监测专业领域国家级评审员资质认定的加2分；项目经理获得过省部级环保部门颁发的环境监测类人才证书的加2分。本项最高5分，没有不得分。</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提供证件</w:t>
            </w:r>
            <w:r>
              <w:rPr>
                <w:rFonts w:hint="eastAsia" w:ascii="宋体" w:hAnsi="宋体" w:eastAsia="宋体" w:cs="宋体"/>
                <w:sz w:val="24"/>
                <w:szCs w:val="24"/>
              </w:rPr>
              <w:t xml:space="preserve">电子件加盖公章</w:t>
            </w:r>
            <w:r>
              <w:rPr>
                <w:rFonts w:hint="eastAsia" w:ascii="宋体" w:hAnsi="宋体" w:eastAsia="宋体" w:cs="宋体"/>
                <w:color w:val="000000"/>
                <w:sz w:val="24"/>
                <w:szCs w:val="24"/>
              </w:rPr>
              <w:t xml:space="preserve">，不提供不得分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为本项目配置的运维人员具备中国环境监测总站颁发的空气自动监测培训合格证，每1人得1分，最高得3分；具备中国环境监测总站颁发的空气自动监测培训合格证的运维人员中，同时具备环境类高级职称的，每1人加1分，最高加2分。【提供证书电子件加盖公章、并提供供应商为其缴纳的近3个月社保缴费证明】</w:t>
            </w:r>
            <w:r>
              <w:rPr>
                <w:rFonts w:hint="eastAsia" w:ascii="宋体" w:hAnsi="宋体" w:eastAsia="宋体" w:cs="宋体"/>
                <w:sz w:val="24"/>
                <w:szCs w:val="24"/>
              </w:rPr>
            </w:r>
            <w:r/>
          </w:p>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3）供应商承诺中标后派驻1人至采购方工作的得2分。派驻人员均需采购方考核认可，方视为正式派驻。</w:t>
            </w:r>
            <w:r>
              <w:rPr>
                <w:rFonts w:hint="eastAsia" w:ascii="宋体" w:hAnsi="宋体" w:eastAsia="宋体" w:cs="宋体"/>
                <w:sz w:val="24"/>
                <w:szCs w:val="24"/>
              </w:rPr>
            </w:r>
            <w:r/>
          </w:p>
        </w:tc>
        <w:tc>
          <w:tcPr>
            <w:tcW w:w="36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r>
      <w:tr>
        <w:trPr/>
        <w:tc>
          <w:tcPr>
            <w:tcW w:w="384"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753"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69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本地化服务</w:t>
            </w:r>
            <w:r>
              <w:rPr>
                <w:rFonts w:hint="eastAsia" w:ascii="宋体" w:hAnsi="宋体" w:eastAsia="宋体" w:cs="宋体"/>
                <w:sz w:val="24"/>
                <w:szCs w:val="24"/>
              </w:rPr>
            </w:r>
            <w:r/>
          </w:p>
        </w:tc>
        <w:tc>
          <w:tcPr>
            <w:tcW w:w="2807" w:type="dxa"/>
            <w:vAlign w:val="center"/>
            <w:textDirection w:val="lrTb"/>
            <w:noWrap w:val="false"/>
          </w:tcPr>
          <w:p>
            <w:pPr>
              <w:pStyle w:val="1270"/>
              <w:jc w:val="left"/>
              <w:keepLines w:val="0"/>
              <w:keepNext w:val="0"/>
              <w:pageBreakBefore w:val="0"/>
              <w:spacing w:line="440" w:lineRule="exact"/>
              <w:rPr>
                <w:rFonts w:hint="eastAsia" w:ascii="宋体" w:hAnsi="宋体" w:eastAsia="宋体" w:cs="宋体"/>
                <w:bCs/>
                <w:sz w:val="24"/>
                <w:szCs w:val="24"/>
              </w:rPr>
            </w:pPr>
            <w:r>
              <w:rPr>
                <w:rFonts w:hint="eastAsia" w:ascii="宋体" w:hAnsi="宋体" w:cs="宋体"/>
                <w:sz w:val="24"/>
                <w:lang w:eastAsia="zh-CN"/>
              </w:rPr>
              <w:t xml:space="preserve">供应商</w:t>
            </w:r>
            <w:r>
              <w:rPr>
                <w:rFonts w:hint="eastAsia" w:ascii="宋体" w:hAnsi="宋体" w:cs="宋体"/>
                <w:sz w:val="24"/>
              </w:rPr>
              <w:t xml:space="preserve">在常州市</w:t>
            </w:r>
            <w:r>
              <w:rPr>
                <w:rFonts w:hint="eastAsia" w:ascii="宋体" w:hAnsi="宋体" w:cs="宋体"/>
                <w:color w:val="000000"/>
                <w:sz w:val="24"/>
              </w:rPr>
              <w:t xml:space="preserve">自有或租赁固定的办公场所</w:t>
            </w:r>
            <w:r>
              <w:rPr>
                <w:rFonts w:hint="eastAsia" w:ascii="宋体" w:hAnsi="宋体" w:cs="宋体"/>
                <w:sz w:val="24"/>
              </w:rPr>
              <w:t xml:space="preserve">得3分。承诺中标后提供办事处的得1分。</w:t>
            </w:r>
            <w:r>
              <w:rPr>
                <w:rFonts w:hint="eastAsia" w:ascii="宋体" w:hAnsi="宋体" w:eastAsia="宋体" w:cs="宋体"/>
                <w:sz w:val="24"/>
                <w:szCs w:val="24"/>
              </w:rPr>
              <w:t xml:space="preserve">【</w:t>
            </w:r>
            <w:r>
              <w:rPr>
                <w:rFonts w:hint="eastAsia" w:ascii="宋体" w:hAnsi="宋体" w:cs="宋体"/>
                <w:sz w:val="24"/>
              </w:rPr>
              <w:t xml:space="preserve">提供已有服务点的产权证明（或租房协议）或承诺书加盖公章，未提供的不得分</w:t>
            </w:r>
            <w:r>
              <w:rPr>
                <w:rFonts w:hint="eastAsia" w:ascii="宋体" w:hAnsi="宋体" w:eastAsia="宋体" w:cs="宋体"/>
                <w:sz w:val="24"/>
                <w:szCs w:val="24"/>
              </w:rPr>
              <w:t xml:space="preserve">】</w:t>
            </w:r>
            <w:r>
              <w:rPr>
                <w:rFonts w:hint="eastAsia" w:ascii="宋体" w:hAnsi="宋体" w:eastAsia="宋体" w:cs="宋体"/>
                <w:bCs/>
                <w:sz w:val="24"/>
                <w:szCs w:val="24"/>
              </w:rPr>
            </w:r>
            <w:r/>
          </w:p>
        </w:tc>
        <w:tc>
          <w:tcPr>
            <w:tcW w:w="36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r>
            <w:r/>
          </w:p>
        </w:tc>
      </w:tr>
      <w:tr>
        <w:trPr/>
        <w:tc>
          <w:tcPr>
            <w:tcW w:w="384"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753"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692" w:type="dxa"/>
            <w:vAlign w:val="center"/>
            <w:vMerge w:val="restart"/>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sz w:val="24"/>
                <w:szCs w:val="24"/>
              </w:rPr>
              <w:t xml:space="preserve">运维方案</w:t>
            </w:r>
            <w:r>
              <w:rPr>
                <w:rFonts w:hint="eastAsia" w:ascii="宋体" w:hAnsi="宋体" w:eastAsia="宋体" w:cs="宋体"/>
                <w:b/>
                <w:bCs/>
                <w:sz w:val="24"/>
                <w:szCs w:val="24"/>
              </w:rPr>
            </w:r>
            <w:r/>
          </w:p>
        </w:tc>
        <w:tc>
          <w:tcPr>
            <w:tcW w:w="2807" w:type="dxa"/>
            <w:vAlign w:val="center"/>
            <w:textDirection w:val="lrTb"/>
            <w:noWrap w:val="false"/>
          </w:tcPr>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运维方案(10分)：供应商为本项目编制的工作制度、安全保障措施、空气自动监测系统运维实施方案的完整性、可行性评分，包括运行管理机构设置、所制定的运行管理制度、安全保障措施、运维操作规程等等，方案详细、表述完整、可操作性强，能够满足采购需求得8-10分；方案通用，表述略模糊，具有一定的可操作性，基本满足采购需求得4-7分；方案简单，表述模糊，可操作性较差的得1-3分；未提供相应内容不得分。</w:t>
            </w:r>
            <w:r>
              <w:rPr>
                <w:rFonts w:hint="eastAsia" w:ascii="宋体" w:hAnsi="宋体" w:eastAsia="宋体" w:cs="宋体"/>
                <w:sz w:val="24"/>
                <w:szCs w:val="24"/>
              </w:rPr>
            </w:r>
            <w:r/>
          </w:p>
        </w:tc>
        <w:tc>
          <w:tcPr>
            <w:tcW w:w="36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r>
      <w:tr>
        <w:trPr/>
        <w:tc>
          <w:tcPr>
            <w:tcW w:w="384"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753"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692"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2807" w:type="dxa"/>
            <w:vAlign w:val="center"/>
            <w:textDirection w:val="lrTb"/>
            <w:noWrap w:val="false"/>
          </w:tcPr>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（2）质量保证能力（10分）：根据投标文件提供的质量保证措施和应急方案进行综合评议。包括质量控制方案、数据审核方案、仪器维修</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。能够满足采购需求得8-10分；方案通用，表述略模糊，具有一定的可操作性，基本满足采购需求得4-7分；方案简单，表述模糊，可操作性较差的得1-3分；未提供相应内容不得分。</w:t>
            </w:r>
            <w:r>
              <w:rPr>
                <w:rFonts w:hint="eastAsia" w:ascii="宋体" w:hAnsi="宋体" w:eastAsia="宋体" w:cs="宋体"/>
                <w:sz w:val="24"/>
                <w:szCs w:val="24"/>
              </w:rPr>
            </w:r>
            <w:r/>
          </w:p>
        </w:tc>
        <w:tc>
          <w:tcPr>
            <w:tcW w:w="36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r>
      <w:tr>
        <w:trPr/>
        <w:tc>
          <w:tcPr>
            <w:tcW w:w="384"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753"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692"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2807" w:type="dxa"/>
            <w:vAlign w:val="center"/>
            <w:textDirection w:val="lrTb"/>
            <w:noWrap w:val="false"/>
          </w:tcPr>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应急方案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分）：针对需求并结合本项目情况，</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制定突发事件应急方案,</w:t>
            </w:r>
            <w:r>
              <w:rPr>
                <w:rFonts w:hint="eastAsia" w:ascii="宋体" w:hAnsi="宋体" w:eastAsia="宋体" w:cs="宋体"/>
                <w:color w:val="000000"/>
                <w:sz w:val="24"/>
                <w:szCs w:val="24"/>
              </w:rPr>
              <w:t xml:space="preserve">包含但不限于针对运行维护过程中可能发生的各种情况应对措施、解决方案等</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270"/>
              <w:jc w:val="left"/>
              <w:spacing w:line="440" w:lineRule="exact"/>
              <w:widowControl/>
              <w:rPr>
                <w:rFonts w:ascii="宋体" w:hAnsi="宋体" w:cs="宋体"/>
                <w:sz w:val="24"/>
              </w:rPr>
            </w:pPr>
            <w:r>
              <w:rPr>
                <w:rFonts w:hint="eastAsia" w:ascii="宋体" w:hAnsi="宋体" w:cs="宋体"/>
                <w:sz w:val="24"/>
              </w:rPr>
              <w:t xml:space="preserve">应急方案措施有效，考虑全面，可操作性强，能够完全满足招标文件要求，得</w:t>
            </w:r>
            <w:r>
              <w:rPr>
                <w:rFonts w:hint="eastAsia" w:ascii="宋体" w:hAnsi="宋体" w:cs="宋体"/>
                <w:sz w:val="24"/>
                <w:lang w:val="en-US" w:eastAsia="zh-CN"/>
              </w:rPr>
              <w:t xml:space="preserve">8</w:t>
            </w:r>
            <w:r>
              <w:rPr>
                <w:rFonts w:hint="eastAsia" w:ascii="宋体" w:hAnsi="宋体" w:cs="宋体"/>
                <w:sz w:val="24"/>
              </w:rPr>
              <w:t xml:space="preserve">-</w:t>
            </w:r>
            <w:r>
              <w:rPr>
                <w:rFonts w:hint="eastAsia" w:ascii="宋体" w:hAnsi="宋体" w:cs="宋体"/>
                <w:sz w:val="24"/>
                <w:lang w:val="en-US" w:eastAsia="zh-CN"/>
              </w:rPr>
              <w:t xml:space="preserve">10</w:t>
            </w:r>
            <w:r>
              <w:rPr>
                <w:rFonts w:hint="eastAsia" w:ascii="宋体" w:hAnsi="宋体" w:cs="宋体"/>
                <w:sz w:val="24"/>
              </w:rPr>
              <w:t xml:space="preserve">分；</w:t>
            </w:r>
            <w:r>
              <w:rPr>
                <w:rFonts w:ascii="宋体" w:hAnsi="宋体" w:cs="宋体"/>
                <w:sz w:val="24"/>
              </w:rPr>
            </w:r>
            <w:r/>
          </w:p>
          <w:p>
            <w:pPr>
              <w:pStyle w:val="1270"/>
              <w:jc w:val="left"/>
              <w:spacing w:line="440" w:lineRule="exact"/>
              <w:widowControl/>
              <w:rPr>
                <w:rFonts w:ascii="宋体" w:hAnsi="宋体" w:cs="宋体"/>
                <w:sz w:val="24"/>
              </w:rPr>
            </w:pPr>
            <w:r>
              <w:rPr>
                <w:rFonts w:hint="eastAsia" w:ascii="宋体" w:hAnsi="宋体" w:cs="宋体"/>
                <w:sz w:val="24"/>
              </w:rPr>
              <w:t xml:space="preserve">应急方案措施基本有效，考虑不够全面，具备基本的可操作性，能基本满足招标文件要求，得</w:t>
            </w:r>
            <w:r>
              <w:rPr>
                <w:rFonts w:hint="eastAsia" w:ascii="宋体" w:hAnsi="宋体" w:cs="宋体"/>
                <w:sz w:val="24"/>
                <w:lang w:val="en-US" w:eastAsia="zh-CN"/>
              </w:rPr>
              <w:t xml:space="preserve">4</w:t>
            </w:r>
            <w:r>
              <w:rPr>
                <w:rFonts w:hint="eastAsia" w:ascii="宋体" w:hAnsi="宋体" w:cs="宋体"/>
                <w:sz w:val="24"/>
              </w:rPr>
              <w:t xml:space="preserve">-</w:t>
            </w:r>
            <w:r>
              <w:rPr>
                <w:rFonts w:hint="eastAsia" w:ascii="宋体" w:hAnsi="宋体" w:cs="宋体"/>
                <w:sz w:val="24"/>
                <w:lang w:val="en-US" w:eastAsia="zh-CN"/>
              </w:rPr>
              <w:t xml:space="preserve">7</w:t>
            </w:r>
            <w:r>
              <w:rPr>
                <w:rFonts w:hint="eastAsia" w:ascii="宋体" w:hAnsi="宋体" w:cs="宋体"/>
                <w:sz w:val="24"/>
              </w:rPr>
              <w:t xml:space="preserve">分；</w:t>
            </w:r>
            <w:r>
              <w:rPr>
                <w:rFonts w:ascii="宋体" w:hAnsi="宋体" w:cs="宋体"/>
                <w:sz w:val="24"/>
              </w:rPr>
            </w:r>
            <w:r/>
          </w:p>
          <w:p>
            <w:pPr>
              <w:pStyle w:val="1270"/>
              <w:jc w:val="left"/>
              <w:spacing w:line="440" w:lineRule="exact"/>
              <w:widowControl/>
              <w:rPr>
                <w:rFonts w:ascii="宋体" w:hAnsi="宋体" w:cs="宋体"/>
                <w:sz w:val="24"/>
              </w:rPr>
            </w:pPr>
            <w:r>
              <w:rPr>
                <w:rFonts w:hint="eastAsia" w:ascii="宋体" w:hAnsi="宋体" w:cs="宋体"/>
                <w:sz w:val="24"/>
              </w:rPr>
              <w:t xml:space="preserve">应急方案措施不准确，考虑欠缺较多，可操作性不强，能部分满足招标文件要求，得1-</w:t>
            </w:r>
            <w:r>
              <w:rPr>
                <w:rFonts w:hint="eastAsia" w:ascii="宋体" w:hAnsi="宋体" w:cs="宋体"/>
                <w:sz w:val="24"/>
                <w:lang w:val="en-US" w:eastAsia="zh-CN"/>
              </w:rPr>
              <w:t xml:space="preserve">3</w:t>
            </w:r>
            <w:r>
              <w:rPr>
                <w:rFonts w:hint="eastAsia" w:ascii="宋体" w:hAnsi="宋体" w:cs="宋体"/>
                <w:sz w:val="24"/>
              </w:rPr>
              <w:t xml:space="preserve">分；</w:t>
            </w:r>
            <w:r>
              <w:rPr>
                <w:rFonts w:ascii="宋体" w:hAnsi="宋体" w:cs="宋体"/>
                <w:sz w:val="24"/>
              </w:rPr>
            </w:r>
            <w:r/>
          </w:p>
          <w:p>
            <w:pPr>
              <w:pStyle w:val="1491"/>
              <w:tabs>
                <w:tab w:val="left" w:pos="567" w:leader="none"/>
              </w:tabs>
              <w:rPr>
                <w:rFonts w:hint="eastAsia"/>
              </w:rPr>
            </w:pPr>
            <w:r>
              <w:rPr>
                <w:rFonts w:hint="eastAsia" w:ascii="宋体" w:hAnsi="宋体" w:cs="宋体"/>
                <w:sz w:val="24"/>
              </w:rPr>
              <w:t xml:space="preserve">无应急方案，或应急方案完全不满足招标文件要求，得0分。</w:t>
            </w:r>
            <w:r>
              <w:rPr>
                <w:rFonts w:hint="eastAsia"/>
              </w:rPr>
            </w:r>
            <w:r/>
          </w:p>
        </w:tc>
        <w:tc>
          <w:tcPr>
            <w:tcW w:w="362" w:type="dxa"/>
            <w:vAlign w:val="center"/>
            <w:textDirection w:val="lrTb"/>
            <w:noWrap w:val="false"/>
          </w:tcPr>
          <w:p>
            <w:pPr>
              <w:pStyle w:val="1270"/>
              <w:jc w:val="center"/>
              <w:keepLines w:val="0"/>
              <w:keepNext w:val="0"/>
              <w:pageBreakBefore w:val="0"/>
              <w:spacing w:line="44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r>
      <w:tr>
        <w:trPr/>
        <w:tc>
          <w:tcPr>
            <w:tcW w:w="384"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753"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692" w:type="dxa"/>
            <w:vAlign w:val="center"/>
            <w:vMerge w:val="continue"/>
            <w:textDirection w:val="lrTb"/>
            <w:noWrap w:val="false"/>
          </w:tcPr>
          <w:p>
            <w:pPr>
              <w:pStyle w:val="127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2807" w:type="dxa"/>
            <w:vAlign w:val="center"/>
            <w:textDirection w:val="lrTb"/>
            <w:noWrap w:val="false"/>
          </w:tcPr>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（4）设备保障（6分）：</w:t>
            </w:r>
            <w:r>
              <w:rPr>
                <w:rFonts w:hint="eastAsia" w:ascii="宋体" w:hAnsi="宋体" w:eastAsia="宋体" w:cs="宋体"/>
                <w:sz w:val="24"/>
                <w:szCs w:val="24"/>
              </w:rPr>
            </w:r>
            <w:r/>
          </w:p>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1）备机保障(4分)：供应商已购买SO2、NOx、CO、O3、PM2.5、PM10六项指标自动监测仪器各2套用作备机的得4分。（需提供以下证明材料，否则不得分：1、提供</w:t>
            </w:r>
            <w:r>
              <w:rPr>
                <w:rFonts w:hint="eastAsia" w:ascii="宋体" w:hAnsi="宋体" w:eastAsia="宋体" w:cs="宋体"/>
                <w:color w:val="000000"/>
                <w:sz w:val="24"/>
                <w:szCs w:val="24"/>
              </w:rPr>
              <w:t xml:space="preserve">备机采购合同</w:t>
            </w:r>
            <w:r>
              <w:rPr>
                <w:rFonts w:hint="eastAsia" w:ascii="宋体" w:hAnsi="宋体" w:eastAsia="宋体" w:cs="宋体"/>
                <w:sz w:val="24"/>
                <w:szCs w:val="24"/>
              </w:rPr>
              <w:t xml:space="preserve">和采购发票复印件加盖公章；2、提供备机配置情况清单：包括但不限于备机种类、数量、品牌、型号、来源、原理等；3、提供备机的适用性检测证书）</w:t>
            </w:r>
            <w:r>
              <w:rPr>
                <w:rFonts w:hint="eastAsia" w:ascii="宋体" w:hAnsi="宋体" w:eastAsia="宋体" w:cs="宋体"/>
                <w:sz w:val="24"/>
                <w:szCs w:val="24"/>
              </w:rPr>
            </w:r>
            <w:r/>
          </w:p>
          <w:p>
            <w:pPr>
              <w:pStyle w:val="127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（2）质控设备（2分）：供应商已购买标准物质、流量计、标准气压计、标准温湿度计各1套的,每提供1套加1分，本项最高得2分。【提供以下证明材料复印件并加盖公章，否则不得分：</w:t>
            </w:r>
            <w:r>
              <w:rPr>
                <w:rFonts w:hint="eastAsia" w:ascii="宋体" w:hAnsi="宋体" w:eastAsia="宋体" w:cs="宋体"/>
                <w:sz w:val="24"/>
                <w:szCs w:val="24"/>
                <w:lang w:val="en-US" w:eastAsia="zh-CN"/>
              </w:rPr>
              <w:t xml:space="preserve">①</w:t>
            </w:r>
            <w:r>
              <w:rPr>
                <w:rFonts w:hint="eastAsia" w:ascii="宋体" w:hAnsi="宋体" w:eastAsia="宋体" w:cs="宋体"/>
                <w:sz w:val="24"/>
                <w:szCs w:val="24"/>
              </w:rPr>
              <w:t xml:space="preserve">设备的采购发票或采购合同；</w:t>
            </w:r>
            <w:r>
              <w:rPr>
                <w:rFonts w:hint="eastAsia" w:ascii="宋体" w:hAnsi="宋体" w:eastAsia="宋体" w:cs="宋体"/>
                <w:sz w:val="24"/>
                <w:szCs w:val="24"/>
                <w:lang w:val="en-US" w:eastAsia="zh-CN"/>
              </w:rPr>
              <w:t xml:space="preserve">②</w:t>
            </w:r>
            <w:r>
              <w:rPr>
                <w:rFonts w:hint="eastAsia" w:ascii="宋体" w:hAnsi="宋体" w:eastAsia="宋体" w:cs="宋体"/>
                <w:sz w:val="24"/>
                <w:szCs w:val="24"/>
              </w:rPr>
              <w:t xml:space="preserve">流量计、标准气压计、标准温湿度计需要提供有效期内的检定校准证书；</w:t>
            </w:r>
            <w:r>
              <w:rPr>
                <w:rFonts w:hint="eastAsia" w:ascii="宋体" w:hAnsi="宋体" w:eastAsia="宋体" w:cs="宋体"/>
                <w:sz w:val="24"/>
                <w:szCs w:val="24"/>
                <w:lang w:val="en-US" w:eastAsia="zh-CN"/>
              </w:rPr>
              <w:t xml:space="preserve">③</w:t>
            </w:r>
            <w:r>
              <w:rPr>
                <w:rFonts w:hint="eastAsia" w:ascii="宋体" w:hAnsi="宋体" w:eastAsia="宋体" w:cs="宋体"/>
                <w:sz w:val="24"/>
                <w:szCs w:val="24"/>
              </w:rPr>
              <w:t xml:space="preserve">标准物质需要提供中国计量科学研究院出具的标准物质证书。】</w:t>
            </w:r>
            <w:r>
              <w:rPr>
                <w:rFonts w:hint="eastAsia" w:ascii="宋体" w:hAnsi="宋体" w:eastAsia="宋体" w:cs="宋体"/>
                <w:sz w:val="24"/>
                <w:szCs w:val="24"/>
              </w:rPr>
            </w:r>
            <w:r/>
          </w:p>
        </w:tc>
        <w:tc>
          <w:tcPr>
            <w:tcW w:w="362" w:type="dxa"/>
            <w:vAlign w:val="center"/>
            <w:textDirection w:val="lrTb"/>
            <w:noWrap w:val="false"/>
          </w:tcPr>
          <w:p>
            <w:pPr>
              <w:pStyle w:val="127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r>
    </w:tbl>
    <w:p>
      <w:pPr>
        <w:pStyle w:val="1270"/>
        <w:rPr>
          <w:rFonts w:hint="eastAsia"/>
        </w:rPr>
      </w:pPr>
      <w:r>
        <w:rPr>
          <w:rFonts w:hint="eastAsia"/>
        </w:rPr>
      </w:r>
      <w:r/>
    </w:p>
    <w:p>
      <w:pPr>
        <w:pStyle w:val="1275"/>
        <w:tabs>
          <w:tab w:val="left" w:pos="567" w:leader="none"/>
        </w:tabs>
        <w:rPr>
          <w:rFonts w:hint="eastAsia"/>
        </w:rPr>
      </w:pPr>
      <w:r>
        <w:rPr>
          <w:rFonts w:hint="eastAsia"/>
        </w:rPr>
        <w:t xml:space="preserve">采购包三:</w:t>
      </w:r>
      <w:r>
        <w:rPr>
          <w:rFonts w:hint="eastAsia"/>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8"/>
        <w:gridCol w:w="911"/>
        <w:gridCol w:w="882"/>
        <w:gridCol w:w="5491"/>
        <w:gridCol w:w="710"/>
        <w:gridCol w:w="1163"/>
      </w:tblGrid>
      <w:tr>
        <w:trPr/>
        <w:tc>
          <w:tcPr>
            <w:tcW w:w="253" w:type="dxa"/>
            <w:vAlign w:val="center"/>
            <w:textDirection w:val="lrTb"/>
            <w:noWrap w:val="false"/>
          </w:tcPr>
          <w:p>
            <w:pPr>
              <w:pStyle w:val="1270"/>
              <w:jc w:val="center"/>
              <w:spacing w:line="440" w:lineRule="exact"/>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472" w:type="dxa"/>
            <w:vAlign w:val="center"/>
            <w:textDirection w:val="lrTb"/>
            <w:noWrap w:val="false"/>
          </w:tcPr>
          <w:p>
            <w:pPr>
              <w:pStyle w:val="1270"/>
              <w:jc w:val="center"/>
              <w:spacing w:line="440" w:lineRule="exact"/>
              <w:rPr>
                <w:rFonts w:hint="eastAsia" w:ascii="宋体" w:hAnsi="宋体" w:cs="宋体"/>
                <w:b/>
                <w:bCs/>
                <w:sz w:val="24"/>
              </w:rPr>
            </w:pPr>
            <w:r>
              <w:rPr>
                <w:rFonts w:hint="eastAsia" w:ascii="宋体" w:hAnsi="宋体" w:cs="宋体"/>
                <w:b/>
                <w:bCs/>
                <w:sz w:val="24"/>
              </w:rPr>
              <w:t xml:space="preserve">评分内容</w:t>
            </w:r>
            <w:r>
              <w:rPr>
                <w:rFonts w:hint="eastAsia" w:ascii="宋体" w:hAnsi="宋体" w:cs="宋体"/>
                <w:b/>
                <w:bCs/>
                <w:sz w:val="24"/>
              </w:rPr>
            </w:r>
            <w:r/>
          </w:p>
        </w:tc>
        <w:tc>
          <w:tcPr>
            <w:tcW w:w="457" w:type="dxa"/>
            <w:vAlign w:val="center"/>
            <w:textDirection w:val="lrTb"/>
            <w:noWrap w:val="false"/>
          </w:tcPr>
          <w:p>
            <w:pPr>
              <w:pStyle w:val="1270"/>
              <w:jc w:val="center"/>
              <w:spacing w:line="440" w:lineRule="exact"/>
              <w:rPr>
                <w:rFonts w:hint="eastAsia" w:ascii="宋体" w:hAnsi="宋体" w:cs="宋体"/>
                <w:b/>
                <w:bCs/>
                <w:sz w:val="24"/>
              </w:rPr>
            </w:pPr>
            <w:r>
              <w:rPr>
                <w:rFonts w:hint="eastAsia" w:ascii="宋体" w:hAnsi="宋体" w:cs="宋体"/>
                <w:b/>
                <w:bCs/>
                <w:sz w:val="24"/>
              </w:rPr>
              <w:t xml:space="preserve">评分因素</w:t>
            </w:r>
            <w:r>
              <w:rPr>
                <w:rFonts w:hint="eastAsia" w:ascii="宋体" w:hAnsi="宋体" w:cs="宋体"/>
                <w:b/>
                <w:bCs/>
                <w:sz w:val="24"/>
              </w:rPr>
            </w:r>
            <w:r/>
          </w:p>
        </w:tc>
        <w:tc>
          <w:tcPr>
            <w:tcW w:w="2844" w:type="dxa"/>
            <w:vAlign w:val="center"/>
            <w:textDirection w:val="lrTb"/>
            <w:noWrap w:val="false"/>
          </w:tcPr>
          <w:p>
            <w:pPr>
              <w:pStyle w:val="1270"/>
              <w:jc w:val="center"/>
              <w:spacing w:line="440" w:lineRule="exact"/>
              <w:rPr>
                <w:rFonts w:hint="eastAsia" w:ascii="宋体" w:hAnsi="宋体" w:cs="宋体"/>
                <w:b/>
                <w:bCs/>
                <w:sz w:val="24"/>
              </w:rPr>
            </w:pPr>
            <w:r>
              <w:rPr>
                <w:rFonts w:hint="eastAsia" w:ascii="宋体" w:hAnsi="宋体" w:cs="宋体"/>
                <w:b/>
                <w:bCs/>
                <w:sz w:val="24"/>
              </w:rPr>
              <w:t xml:space="preserve">评分标准</w:t>
            </w:r>
            <w:r>
              <w:rPr>
                <w:rFonts w:hint="eastAsia" w:ascii="宋体" w:hAnsi="宋体" w:cs="宋体"/>
                <w:b/>
                <w:bCs/>
                <w:sz w:val="24"/>
              </w:rPr>
            </w:r>
            <w:r/>
          </w:p>
        </w:tc>
        <w:tc>
          <w:tcPr>
            <w:tcW w:w="368" w:type="dxa"/>
            <w:vAlign w:val="center"/>
            <w:textDirection w:val="lrTb"/>
            <w:noWrap w:val="false"/>
          </w:tcPr>
          <w:p>
            <w:pPr>
              <w:pStyle w:val="1270"/>
              <w:jc w:val="center"/>
              <w:spacing w:line="440" w:lineRule="exact"/>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c>
          <w:tcPr>
            <w:tcW w:w="602" w:type="dxa"/>
            <w:vAlign w:val="center"/>
            <w:textDirection w:val="lrTb"/>
            <w:noWrap w:val="false"/>
          </w:tcPr>
          <w:p>
            <w:pPr>
              <w:pStyle w:val="1270"/>
              <w:jc w:val="center"/>
              <w:spacing w:line="440" w:lineRule="exact"/>
              <w:rPr>
                <w:rFonts w:hint="eastAsia" w:ascii="宋体" w:hAnsi="宋体" w:cs="宋体"/>
                <w:b/>
                <w:bCs/>
                <w:sz w:val="24"/>
              </w:rPr>
            </w:pPr>
            <w:r>
              <w:rPr>
                <w:rFonts w:hint="eastAsia" w:ascii="宋体" w:hAnsi="宋体" w:cs="宋体"/>
                <w:b/>
                <w:bCs/>
                <w:sz w:val="24"/>
              </w:rPr>
              <w:t xml:space="preserve">说明</w:t>
            </w:r>
            <w:r>
              <w:rPr>
                <w:rFonts w:hint="eastAsia" w:ascii="宋体" w:hAnsi="宋体" w:cs="宋体"/>
                <w:b/>
                <w:bCs/>
                <w:sz w:val="24"/>
              </w:rPr>
            </w:r>
            <w:r/>
          </w:p>
        </w:tc>
      </w:tr>
      <w:tr>
        <w:trPr/>
        <w:tc>
          <w:tcPr>
            <w:tcW w:w="25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472"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价格部分（15分）</w:t>
            </w:r>
            <w:r>
              <w:rPr>
                <w:rFonts w:hint="eastAsia" w:ascii="宋体" w:hAnsi="宋体" w:cs="宋体"/>
                <w:sz w:val="24"/>
              </w:rPr>
            </w:r>
            <w:r/>
          </w:p>
        </w:tc>
        <w:tc>
          <w:tcPr>
            <w:tcW w:w="457"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价格（15分）</w:t>
            </w:r>
            <w:r>
              <w:rPr>
                <w:rFonts w:hint="eastAsia" w:ascii="宋体" w:hAnsi="宋体" w:cs="宋体"/>
                <w:sz w:val="24"/>
              </w:rPr>
            </w:r>
            <w:r/>
          </w:p>
        </w:tc>
        <w:tc>
          <w:tcPr>
            <w:tcW w:w="2844"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lang w:bidi="ar"/>
              </w:rPr>
              <w:t xml:space="preserve">按满足磋商文件要求且有效投标价格最低的投标报价作为评审基准价，其价格分为满分；其他投标人的价格分按以下公式计算：投标报价得分＝（评审基准价/最后响应报价）×15（保留二位小数）</w:t>
            </w:r>
            <w:r>
              <w:rPr>
                <w:rFonts w:hint="eastAsia" w:ascii="宋体" w:hAnsi="宋体" w:cs="宋体"/>
                <w:sz w:val="24"/>
              </w:rPr>
            </w:r>
            <w:r/>
          </w:p>
        </w:tc>
        <w:tc>
          <w:tcPr>
            <w:tcW w:w="368"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c>
          <w:tcPr>
            <w:tcW w:w="602"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r>
            <w:r/>
          </w:p>
        </w:tc>
      </w:tr>
      <w:tr>
        <w:trPr/>
        <w:tc>
          <w:tcPr>
            <w:tcW w:w="25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472" w:type="dxa"/>
            <w:vAlign w:val="center"/>
            <w:vMerge w:val="restart"/>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商务部分（35分）</w:t>
            </w:r>
            <w:r>
              <w:rPr>
                <w:rFonts w:hint="eastAsia" w:ascii="宋体" w:hAnsi="宋体" w:cs="宋体"/>
                <w:sz w:val="24"/>
              </w:rPr>
            </w:r>
            <w:r/>
          </w:p>
        </w:tc>
        <w:tc>
          <w:tcPr>
            <w:tcW w:w="457"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投标人专业实验室综合能力</w:t>
            </w:r>
            <w:r>
              <w:rPr>
                <w:rFonts w:hint="eastAsia" w:ascii="宋体" w:hAnsi="宋体" w:cs="宋体"/>
                <w:sz w:val="24"/>
              </w:rPr>
            </w:r>
            <w:r/>
          </w:p>
        </w:tc>
        <w:tc>
          <w:tcPr>
            <w:tcW w:w="2844"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t xml:space="preserve">1、投标人自有或委托用于本项目质量控制的CMA实验室的得5分。供相关证明材料。</w:t>
            </w: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t xml:space="preserve">2、投标人自有或委托用于本项目质量控制的CMA实验室且在“江苏省社会环境检测机构平台”登记、公开检测能力的得2分。</w:t>
            </w:r>
            <w:r>
              <w:rPr>
                <w:rFonts w:hint="eastAsia" w:ascii="宋体" w:hAnsi="宋体" w:cs="宋体"/>
                <w:sz w:val="24"/>
              </w:rPr>
            </w:r>
            <w:r/>
          </w:p>
          <w:p>
            <w:pPr>
              <w:pStyle w:val="1270"/>
              <w:spacing w:line="440" w:lineRule="exact"/>
              <w:rPr>
                <w:rFonts w:hint="eastAsia" w:ascii="宋体" w:hAnsi="宋体" w:cs="宋体"/>
                <w:b/>
                <w:bCs/>
                <w:sz w:val="24"/>
              </w:rPr>
            </w:pPr>
            <w:r>
              <w:rPr>
                <w:rFonts w:hint="eastAsia" w:ascii="宋体" w:hAnsi="宋体" w:cs="宋体"/>
                <w:sz w:val="24"/>
              </w:rPr>
              <w:t xml:space="preserve">须出具投标人自有或委托资质实验室声明，以及有效期内的实验室证书和项目附表清单加盖投标人公章。</w:t>
            </w:r>
            <w:r>
              <w:rPr>
                <w:rFonts w:hint="eastAsia" w:ascii="宋体" w:hAnsi="宋体" w:cs="宋体"/>
                <w:b/>
                <w:bCs/>
                <w:sz w:val="24"/>
              </w:rPr>
            </w:r>
            <w:r/>
          </w:p>
        </w:tc>
        <w:tc>
          <w:tcPr>
            <w:tcW w:w="368"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W w:w="602"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提供检验检测机构资质认定证书及计量认证附表。</w:t>
            </w:r>
            <w:r>
              <w:rPr>
                <w:rFonts w:hint="eastAsia" w:ascii="宋体" w:hAnsi="宋体" w:cs="宋体"/>
                <w:sz w:val="24"/>
              </w:rPr>
            </w:r>
            <w:r/>
          </w:p>
        </w:tc>
      </w:tr>
      <w:tr>
        <w:trPr/>
        <w:tc>
          <w:tcPr>
            <w:tcW w:w="25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472" w:type="dxa"/>
            <w:vAlign w:val="center"/>
            <w:vMerge w:val="continue"/>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r>
            <w:r/>
          </w:p>
        </w:tc>
        <w:tc>
          <w:tcPr>
            <w:tcW w:w="457"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投标人业绩状况</w:t>
            </w:r>
            <w:r>
              <w:rPr>
                <w:rFonts w:hint="eastAsia" w:ascii="宋体" w:hAnsi="宋体" w:cs="宋体"/>
                <w:sz w:val="24"/>
              </w:rPr>
            </w:r>
            <w:r/>
          </w:p>
        </w:tc>
        <w:tc>
          <w:tcPr>
            <w:tcW w:w="2844" w:type="dxa"/>
            <w:vAlign w:val="center"/>
            <w:textDirection w:val="lrTb"/>
            <w:noWrap w:val="false"/>
          </w:tcPr>
          <w:p>
            <w:pPr>
              <w:pStyle w:val="1270"/>
              <w:jc w:val="left"/>
              <w:spacing w:line="440" w:lineRule="exact"/>
              <w:rPr>
                <w:rFonts w:hint="eastAsia" w:ascii="宋体" w:hAnsi="宋体" w:cs="宋体"/>
                <w:sz w:val="24"/>
              </w:rPr>
            </w:pPr>
            <w:r>
              <w:rPr>
                <w:rFonts w:hint="eastAsia" w:ascii="宋体" w:hAnsi="宋体" w:cs="宋体"/>
                <w:sz w:val="24"/>
              </w:rPr>
              <w:t xml:space="preserve">1、质控业绩：2022年1月1日以来（以合同签署日期为准），投标人具有环境类自动监测站质控项目业绩的，每个合同得3分，最高得9分。（须提供质控项目合同和中标通知书，否则不得分）</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2、运维业绩：2022年1月1日以来（以合同签署日期为准）投标人具有水环境类自动监测站运维服务项目，每个合同得3分，最高3分。</w:t>
            </w:r>
            <w:r>
              <w:rPr>
                <w:rFonts w:hint="eastAsia" w:ascii="宋体" w:hAnsi="宋体" w:cs="宋体"/>
                <w:sz w:val="24"/>
              </w:rPr>
            </w:r>
            <w:r/>
          </w:p>
          <w:p>
            <w:pPr>
              <w:pStyle w:val="1270"/>
              <w:jc w:val="left"/>
              <w:spacing w:line="440" w:lineRule="exact"/>
              <w:rPr>
                <w:rFonts w:hint="eastAsia" w:ascii="宋体" w:hAnsi="宋体" w:eastAsia="宋体" w:cs="宋体"/>
                <w:sz w:val="24"/>
                <w:lang w:eastAsia="zh-CN"/>
              </w:rPr>
            </w:pPr>
            <w:r>
              <w:rPr>
                <w:rFonts w:hint="eastAsia" w:ascii="宋体" w:hAnsi="宋体" w:cs="宋体"/>
                <w:sz w:val="24"/>
              </w:rPr>
              <w:t xml:space="preserve">（投标文件中须提供中标通知书、合同复印件，否则不得分</w:t>
            </w:r>
            <w:r>
              <w:rPr>
                <w:rFonts w:hint="eastAsia" w:ascii="宋体" w:hAnsi="宋体" w:cs="宋体"/>
                <w:sz w:val="24"/>
                <w:lang w:eastAsia="zh-CN"/>
              </w:rPr>
              <w:t xml:space="preserve">）</w:t>
            </w:r>
            <w:r>
              <w:rPr>
                <w:rFonts w:hint="eastAsia" w:ascii="宋体" w:hAnsi="宋体" w:eastAsia="宋体" w:cs="宋体"/>
                <w:sz w:val="24"/>
                <w:lang w:eastAsia="zh-CN"/>
              </w:rPr>
            </w:r>
            <w:r/>
          </w:p>
        </w:tc>
        <w:tc>
          <w:tcPr>
            <w:tcW w:w="368"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602"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提供合同电子件并加盖公章。</w:t>
            </w:r>
            <w:r>
              <w:rPr>
                <w:rFonts w:hint="eastAsia" w:ascii="宋体" w:hAnsi="宋体" w:cs="宋体"/>
                <w:sz w:val="24"/>
              </w:rPr>
            </w:r>
            <w:r/>
          </w:p>
        </w:tc>
      </w:tr>
      <w:tr>
        <w:trPr/>
        <w:tc>
          <w:tcPr>
            <w:tcW w:w="25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472" w:type="dxa"/>
            <w:vAlign w:val="center"/>
            <w:vMerge w:val="continue"/>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r>
            <w:r/>
          </w:p>
        </w:tc>
        <w:tc>
          <w:tcPr>
            <w:tcW w:w="457"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投标人资质</w:t>
            </w:r>
            <w:r>
              <w:rPr>
                <w:rFonts w:hint="eastAsia" w:ascii="宋体" w:hAnsi="宋体" w:cs="宋体"/>
                <w:sz w:val="24"/>
              </w:rPr>
            </w:r>
            <w:r/>
          </w:p>
        </w:tc>
        <w:tc>
          <w:tcPr>
            <w:tcW w:w="2844" w:type="dxa"/>
            <w:vAlign w:val="center"/>
            <w:textDirection w:val="lrTb"/>
            <w:noWrap w:val="false"/>
          </w:tcPr>
          <w:p>
            <w:pPr>
              <w:pStyle w:val="1270"/>
              <w:numPr>
                <w:ilvl w:val="0"/>
                <w:numId w:val="11"/>
              </w:numPr>
              <w:jc w:val="left"/>
              <w:spacing w:line="440" w:lineRule="exact"/>
              <w:rPr>
                <w:rFonts w:hint="eastAsia" w:ascii="宋体" w:hAnsi="宋体" w:cs="宋体"/>
                <w:sz w:val="24"/>
              </w:rPr>
            </w:pPr>
            <w:r>
              <w:rPr>
                <w:rFonts w:hint="eastAsia" w:ascii="宋体" w:hAnsi="宋体" w:cs="宋体"/>
                <w:sz w:val="24"/>
              </w:rPr>
              <w:t xml:space="preserve">供应商具有有效期内的环境服务认证证书（认证范围包含地表水水质自动监测站运营服务）得1分；</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2、ISO9001质量管理体系认证证书得1分；</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3、ISO14001环境管理体系认证证书得1分；</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4、职业健康安全管理体系认证证书得1分；</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5、应急预案管理能力评价认证证书得1分；</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（以上所有证书资料均须在有效期内，未提供不得分）</w:t>
            </w:r>
            <w:r>
              <w:rPr>
                <w:rFonts w:hint="eastAsia" w:ascii="宋体" w:hAnsi="宋体" w:cs="宋体"/>
                <w:sz w:val="24"/>
              </w:rPr>
            </w:r>
            <w:r/>
          </w:p>
        </w:tc>
        <w:tc>
          <w:tcPr>
            <w:tcW w:w="368"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02" w:type="dxa"/>
            <w:vAlign w:val="center"/>
            <w:textDirection w:val="lrTb"/>
            <w:noWrap w:val="false"/>
          </w:tcPr>
          <w:p>
            <w:pPr>
              <w:pStyle w:val="1270"/>
              <w:jc w:val="center"/>
              <w:spacing w:line="440" w:lineRule="exact"/>
              <w:rPr>
                <w:rFonts w:hint="eastAsia" w:ascii="宋体" w:hAnsi="宋体" w:eastAsia="宋体" w:cs="宋体"/>
                <w:sz w:val="24"/>
                <w:lang w:eastAsia="zh-CN"/>
              </w:rPr>
            </w:pPr>
            <w:r>
              <w:rPr>
                <w:rFonts w:hint="eastAsia" w:ascii="宋体" w:hAnsi="宋体" w:cs="宋体"/>
                <w:sz w:val="24"/>
              </w:rPr>
              <w:t xml:space="preserve">提供证明材料电子件并加盖公章</w:t>
            </w:r>
            <w:r>
              <w:rPr>
                <w:rFonts w:hint="eastAsia" w:ascii="宋体" w:hAnsi="宋体" w:cs="宋体"/>
                <w:sz w:val="24"/>
                <w:lang w:eastAsia="zh-CN"/>
              </w:rPr>
              <w:t xml:space="preserve">。</w:t>
            </w:r>
            <w:r>
              <w:rPr>
                <w:rFonts w:hint="eastAsia" w:ascii="宋体" w:hAnsi="宋体" w:eastAsia="宋体" w:cs="宋体"/>
                <w:sz w:val="24"/>
                <w:lang w:eastAsia="zh-CN"/>
              </w:rPr>
            </w:r>
            <w:r/>
          </w:p>
        </w:tc>
      </w:tr>
      <w:tr>
        <w:trPr/>
        <w:tc>
          <w:tcPr>
            <w:tcW w:w="25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472" w:type="dxa"/>
            <w:vAlign w:val="center"/>
            <w:vMerge w:val="continue"/>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r>
            <w:r/>
          </w:p>
        </w:tc>
        <w:tc>
          <w:tcPr>
            <w:tcW w:w="457"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质控检查人员能力</w:t>
            </w:r>
            <w:r>
              <w:rPr>
                <w:rFonts w:hint="eastAsia" w:ascii="宋体" w:hAnsi="宋体" w:cs="宋体"/>
                <w:sz w:val="24"/>
              </w:rPr>
            </w:r>
            <w:r/>
          </w:p>
        </w:tc>
        <w:tc>
          <w:tcPr>
            <w:tcW w:w="2844" w:type="dxa"/>
            <w:vAlign w:val="center"/>
            <w:textDirection w:val="lrTb"/>
            <w:noWrap w:val="false"/>
          </w:tcPr>
          <w:p>
            <w:pPr>
              <w:pStyle w:val="1270"/>
              <w:jc w:val="left"/>
              <w:spacing w:line="440" w:lineRule="exact"/>
              <w:rPr>
                <w:rFonts w:hint="eastAsia" w:ascii="宋体" w:hAnsi="宋体" w:cs="宋体"/>
                <w:sz w:val="24"/>
              </w:rPr>
            </w:pPr>
            <w:r>
              <w:rPr>
                <w:rFonts w:hint="eastAsia" w:ascii="宋体" w:hAnsi="宋体" w:cs="宋体"/>
                <w:sz w:val="24"/>
              </w:rPr>
              <w:t xml:space="preserve">1、投标人为本项目配备的项目负责人具有具有中国环境监测总站核发的地表水监测培训合格证的得5分。</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2、投标人为本项目配备2名服务人员具有相关地表水监测培训合格证或自动监控(地表水)运行工的，每1人得3分，最高得6分，。</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（投标文件中提供上述证书复印件，服务人员近1个月社保证明）</w:t>
            </w:r>
            <w:r>
              <w:rPr>
                <w:rFonts w:hint="eastAsia" w:ascii="宋体" w:hAnsi="宋体" w:cs="宋体"/>
                <w:sz w:val="24"/>
              </w:rPr>
            </w:r>
            <w:r/>
          </w:p>
        </w:tc>
        <w:tc>
          <w:tcPr>
            <w:tcW w:w="368" w:type="dxa"/>
            <w:vAlign w:val="center"/>
            <w:textDirection w:val="lrTb"/>
            <w:noWrap w:val="false"/>
          </w:tcPr>
          <w:p>
            <w:pPr>
              <w:pStyle w:val="1270"/>
              <w:jc w:val="center"/>
              <w:spacing w:line="440" w:lineRule="exact"/>
              <w:rPr>
                <w:rFonts w:ascii="宋体" w:hAnsi="宋体" w:cs="宋体"/>
                <w:sz w:val="24"/>
              </w:rPr>
            </w:pPr>
            <w:r>
              <w:rPr>
                <w:rFonts w:hint="eastAsia" w:ascii="宋体" w:hAnsi="宋体" w:cs="宋体"/>
                <w:sz w:val="24"/>
              </w:rPr>
              <w:t xml:space="preserve">11</w:t>
            </w:r>
            <w:r>
              <w:rPr>
                <w:rFonts w:ascii="宋体" w:hAnsi="宋体" w:cs="宋体"/>
                <w:sz w:val="24"/>
              </w:rPr>
            </w:r>
            <w:r/>
          </w:p>
        </w:tc>
        <w:tc>
          <w:tcPr>
            <w:tcW w:w="602"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r>
            <w:r/>
          </w:p>
        </w:tc>
      </w:tr>
      <w:tr>
        <w:trPr/>
        <w:tc>
          <w:tcPr>
            <w:tcW w:w="25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W w:w="472" w:type="dxa"/>
            <w:vAlign w:val="center"/>
            <w:vMerge w:val="restart"/>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技术部分（50分）</w:t>
            </w:r>
            <w:r>
              <w:rPr>
                <w:rFonts w:hint="eastAsia" w:ascii="宋体" w:hAnsi="宋体" w:cs="宋体"/>
                <w:sz w:val="24"/>
              </w:rPr>
            </w:r>
            <w:r/>
          </w:p>
        </w:tc>
        <w:tc>
          <w:tcPr>
            <w:tcW w:w="457"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color w:val="000000"/>
                <w:sz w:val="24"/>
                <w:lang w:bidi="ar"/>
              </w:rPr>
              <w:t xml:space="preserve">质控方案（25分）</w:t>
            </w:r>
            <w:r>
              <w:rPr>
                <w:rFonts w:hint="eastAsia" w:ascii="宋体" w:hAnsi="宋体" w:cs="宋体"/>
                <w:sz w:val="24"/>
              </w:rPr>
            </w:r>
            <w:r/>
          </w:p>
        </w:tc>
        <w:tc>
          <w:tcPr>
            <w:tcW w:w="2844" w:type="dxa"/>
            <w:vAlign w:val="center"/>
            <w:textDirection w:val="lrTb"/>
            <w:noWrap w:val="false"/>
          </w:tcPr>
          <w:p>
            <w:pPr>
              <w:pStyle w:val="1270"/>
              <w:jc w:val="left"/>
              <w:spacing w:line="440" w:lineRule="exact"/>
              <w:rPr>
                <w:rFonts w:hint="eastAsia" w:ascii="宋体" w:hAnsi="宋体" w:cs="宋体"/>
                <w:sz w:val="24"/>
              </w:rPr>
            </w:pPr>
            <w:r>
              <w:rPr>
                <w:rFonts w:hint="eastAsia" w:ascii="宋体" w:hAnsi="宋体" w:cs="宋体"/>
                <w:color w:val="000000"/>
                <w:sz w:val="24"/>
                <w:lang w:bidi="ar"/>
              </w:rPr>
              <w:t xml:space="preserve">根据供应商提供的针对本项目的质控核查工作方案（包括质控核查实施计划、核查方法、核查周期、核查内容等）的科学性、完整性、合理性进行综合评定：综合考量，分档给分，</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方案科学</w:t>
            </w:r>
            <w:r>
              <w:rPr>
                <w:rFonts w:hint="eastAsia" w:hAnsi="宋体" w:cs="宋体"/>
                <w:color w:val="000000"/>
                <w:sz w:val="24"/>
                <w:lang w:bidi="ar"/>
              </w:rPr>
              <w:t xml:space="preserve">合理</w:t>
            </w:r>
            <w:r>
              <w:rPr>
                <w:rFonts w:hint="eastAsia" w:ascii="宋体" w:hAnsi="宋体" w:cs="宋体"/>
                <w:color w:val="000000"/>
                <w:sz w:val="24"/>
                <w:lang w:bidi="ar"/>
              </w:rPr>
              <w:t xml:space="preserve">、</w:t>
            </w:r>
            <w:r>
              <w:rPr>
                <w:rFonts w:hint="eastAsia" w:hAnsi="宋体" w:cs="宋体"/>
                <w:color w:val="000000"/>
                <w:sz w:val="24"/>
                <w:lang w:bidi="ar"/>
              </w:rPr>
              <w:t xml:space="preserve">完整度高的</w:t>
            </w:r>
            <w:r>
              <w:rPr>
                <w:rFonts w:hint="eastAsia" w:ascii="宋体" w:hAnsi="宋体" w:cs="宋体"/>
                <w:color w:val="000000"/>
                <w:sz w:val="24"/>
                <w:lang w:bidi="ar"/>
              </w:rPr>
              <w:t xml:space="preserve">得25分；</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方案科学</w:t>
            </w:r>
            <w:r>
              <w:rPr>
                <w:rFonts w:hint="eastAsia" w:hAnsi="宋体" w:cs="宋体"/>
                <w:color w:val="000000"/>
                <w:sz w:val="24"/>
                <w:lang w:bidi="ar"/>
              </w:rPr>
              <w:t xml:space="preserve">合理</w:t>
            </w:r>
            <w:r>
              <w:rPr>
                <w:rFonts w:hint="eastAsia" w:ascii="宋体" w:hAnsi="宋体" w:cs="宋体"/>
                <w:color w:val="000000"/>
                <w:sz w:val="24"/>
                <w:lang w:bidi="ar"/>
              </w:rPr>
              <w:t xml:space="preserve">、</w:t>
            </w:r>
            <w:r>
              <w:rPr>
                <w:rFonts w:hint="eastAsia" w:hAnsi="宋体" w:cs="宋体"/>
                <w:color w:val="000000"/>
                <w:sz w:val="24"/>
                <w:lang w:bidi="ar"/>
              </w:rPr>
              <w:t xml:space="preserve">完整度较高的</w:t>
            </w:r>
            <w:r>
              <w:rPr>
                <w:rFonts w:hint="eastAsia" w:ascii="宋体" w:hAnsi="宋体" w:cs="宋体"/>
                <w:color w:val="000000"/>
                <w:sz w:val="24"/>
                <w:lang w:bidi="ar"/>
              </w:rPr>
              <w:t xml:space="preserve">得20分；</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方案科学</w:t>
            </w:r>
            <w:r>
              <w:rPr>
                <w:rFonts w:hint="eastAsia" w:hAnsi="宋体" w:cs="宋体"/>
                <w:color w:val="000000"/>
                <w:sz w:val="24"/>
                <w:lang w:bidi="ar"/>
              </w:rPr>
              <w:t xml:space="preserve">合理</w:t>
            </w:r>
            <w:r>
              <w:rPr>
                <w:rFonts w:hint="eastAsia" w:ascii="宋体" w:hAnsi="宋体" w:cs="宋体"/>
                <w:color w:val="000000"/>
                <w:sz w:val="24"/>
                <w:lang w:bidi="ar"/>
              </w:rPr>
              <w:t xml:space="preserve">、</w:t>
            </w:r>
            <w:r>
              <w:rPr>
                <w:rFonts w:hint="eastAsia" w:hAnsi="宋体" w:cs="宋体"/>
                <w:color w:val="000000"/>
                <w:sz w:val="24"/>
                <w:lang w:bidi="ar"/>
              </w:rPr>
              <w:t xml:space="preserve">完整度低的</w:t>
            </w:r>
            <w:r>
              <w:rPr>
                <w:rFonts w:hint="eastAsia" w:ascii="宋体" w:hAnsi="宋体" w:cs="宋体"/>
                <w:color w:val="000000"/>
                <w:sz w:val="24"/>
                <w:lang w:bidi="ar"/>
              </w:rPr>
              <w:t xml:space="preserve">得15分；</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方案科学</w:t>
            </w:r>
            <w:r>
              <w:rPr>
                <w:rFonts w:hint="eastAsia" w:hAnsi="宋体" w:cs="宋体"/>
                <w:color w:val="000000"/>
                <w:sz w:val="24"/>
                <w:lang w:bidi="ar"/>
              </w:rPr>
              <w:t xml:space="preserve">合理</w:t>
            </w:r>
            <w:r>
              <w:rPr>
                <w:rFonts w:hint="eastAsia" w:ascii="宋体" w:hAnsi="宋体" w:cs="宋体"/>
                <w:color w:val="000000"/>
                <w:sz w:val="24"/>
                <w:lang w:bidi="ar"/>
              </w:rPr>
              <w:t xml:space="preserve">、</w:t>
            </w:r>
            <w:r>
              <w:rPr>
                <w:rFonts w:hint="eastAsia" w:hAnsi="宋体" w:cs="宋体"/>
                <w:color w:val="000000"/>
                <w:sz w:val="24"/>
                <w:lang w:bidi="ar"/>
              </w:rPr>
              <w:t xml:space="preserve">完整度较低的</w:t>
            </w:r>
            <w:r>
              <w:rPr>
                <w:rFonts w:hint="eastAsia" w:ascii="宋体" w:hAnsi="宋体" w:cs="宋体"/>
                <w:color w:val="000000"/>
                <w:sz w:val="24"/>
                <w:lang w:bidi="ar"/>
              </w:rPr>
              <w:t xml:space="preserve">得10分；</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未提供方案不得分。</w:t>
            </w:r>
            <w:r>
              <w:rPr>
                <w:rFonts w:hint="eastAsia" w:ascii="宋体" w:hAnsi="宋体" w:cs="宋体"/>
                <w:sz w:val="24"/>
              </w:rPr>
            </w:r>
            <w:r/>
          </w:p>
        </w:tc>
        <w:tc>
          <w:tcPr>
            <w:tcW w:w="368" w:type="dxa"/>
            <w:vAlign w:val="center"/>
            <w:textDirection w:val="lrTb"/>
            <w:noWrap w:val="false"/>
          </w:tcPr>
          <w:p>
            <w:pPr>
              <w:pStyle w:val="1270"/>
              <w:jc w:val="center"/>
              <w:spacing w:line="440" w:lineRule="exact"/>
              <w:rPr>
                <w:rFonts w:ascii="宋体" w:hAnsi="宋体" w:cs="宋体"/>
                <w:sz w:val="24"/>
              </w:rPr>
            </w:pPr>
            <w:r>
              <w:rPr>
                <w:rFonts w:hint="eastAsia" w:ascii="宋体" w:hAnsi="宋体" w:cs="宋体"/>
                <w:sz w:val="24"/>
              </w:rPr>
              <w:t xml:space="preserve">25</w:t>
            </w:r>
            <w:r>
              <w:rPr>
                <w:rFonts w:ascii="宋体" w:hAnsi="宋体" w:cs="宋体"/>
                <w:sz w:val="24"/>
              </w:rPr>
            </w:r>
            <w:r/>
          </w:p>
        </w:tc>
        <w:tc>
          <w:tcPr>
            <w:tcW w:w="602" w:type="dxa"/>
            <w:vAlign w:val="center"/>
            <w:textDirection w:val="lrTb"/>
            <w:noWrap w:val="false"/>
          </w:tcPr>
          <w:p>
            <w:pPr>
              <w:pStyle w:val="1270"/>
              <w:jc w:val="center"/>
              <w:spacing w:line="440" w:lineRule="exact"/>
              <w:rPr>
                <w:rFonts w:hint="eastAsia" w:ascii="宋体" w:hAnsi="宋体" w:cs="宋体"/>
                <w:sz w:val="24"/>
                <w:highlight w:val="yellow"/>
              </w:rPr>
            </w:pPr>
            <w:r>
              <w:rPr>
                <w:rFonts w:hint="eastAsia" w:ascii="宋体" w:hAnsi="宋体" w:cs="宋体"/>
                <w:sz w:val="24"/>
                <w:highlight w:val="yellow"/>
              </w:rPr>
            </w:r>
            <w:r/>
          </w:p>
        </w:tc>
      </w:tr>
      <w:tr>
        <w:trPr/>
        <w:tc>
          <w:tcPr>
            <w:tcW w:w="25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W w:w="472" w:type="dxa"/>
            <w:vAlign w:val="center"/>
            <w:vMerge w:val="continue"/>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r>
            <w:r/>
          </w:p>
        </w:tc>
        <w:tc>
          <w:tcPr>
            <w:tcW w:w="457"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应急预案</w:t>
            </w:r>
            <w:r>
              <w:rPr>
                <w:rFonts w:hint="eastAsia" w:ascii="宋体" w:hAnsi="宋体" w:cs="宋体"/>
                <w:color w:val="000000"/>
                <w:sz w:val="24"/>
                <w:lang w:bidi="ar"/>
              </w:rPr>
              <w:t xml:space="preserve">（15分）</w:t>
            </w:r>
            <w:r>
              <w:rPr>
                <w:rFonts w:hint="eastAsia" w:ascii="宋体" w:hAnsi="宋体" w:cs="宋体"/>
                <w:sz w:val="24"/>
              </w:rPr>
            </w:r>
            <w:r/>
          </w:p>
        </w:tc>
        <w:tc>
          <w:tcPr>
            <w:tcW w:w="2844" w:type="dxa"/>
            <w:vAlign w:val="center"/>
            <w:textDirection w:val="lrTb"/>
            <w:noWrap w:val="false"/>
          </w:tcPr>
          <w:p>
            <w:pPr>
              <w:pStyle w:val="1270"/>
              <w:jc w:val="left"/>
              <w:spacing w:line="440" w:lineRule="exact"/>
              <w:rPr>
                <w:rFonts w:hint="eastAsia" w:ascii="宋体" w:hAnsi="宋体" w:cs="宋体"/>
                <w:sz w:val="24"/>
              </w:rPr>
            </w:pPr>
            <w:r>
              <w:rPr>
                <w:rFonts w:hint="eastAsia" w:ascii="宋体" w:hAnsi="宋体" w:cs="宋体"/>
                <w:color w:val="000000"/>
                <w:sz w:val="24"/>
                <w:lang w:bidi="ar"/>
              </w:rPr>
              <w:t xml:space="preserve">根据供应商提供的应急预案，判断其在监测任务开展期间，出现车辆事故或故障，恶劣天气等无法按时保质完成质控检查任务的问题，是否具备有效的预防和补救措施，综合评审。综合考量，分档给分，</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应急预案科学合理，可行性高的得15分，</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应急预案科学合理，可行性</w:t>
            </w:r>
            <w:r>
              <w:rPr>
                <w:rFonts w:hint="eastAsia" w:hAnsi="宋体" w:cs="宋体"/>
                <w:color w:val="000000"/>
                <w:sz w:val="24"/>
                <w:lang w:bidi="ar"/>
              </w:rPr>
              <w:t xml:space="preserve">较</w:t>
            </w:r>
            <w:r>
              <w:rPr>
                <w:rFonts w:hint="eastAsia" w:ascii="宋体" w:hAnsi="宋体" w:cs="宋体"/>
                <w:color w:val="000000"/>
                <w:sz w:val="24"/>
                <w:lang w:bidi="ar"/>
              </w:rPr>
              <w:t xml:space="preserve">高</w:t>
            </w:r>
            <w:r>
              <w:rPr>
                <w:rFonts w:hint="eastAsia" w:hAnsi="宋体" w:cs="宋体"/>
                <w:color w:val="000000"/>
                <w:sz w:val="24"/>
                <w:lang w:bidi="ar"/>
              </w:rPr>
              <w:t xml:space="preserve">的</w:t>
            </w:r>
            <w:r>
              <w:rPr>
                <w:rFonts w:hint="eastAsia" w:ascii="宋体" w:hAnsi="宋体" w:cs="宋体"/>
                <w:color w:val="000000"/>
                <w:sz w:val="24"/>
                <w:lang w:bidi="ar"/>
              </w:rPr>
              <w:t xml:space="preserve">得10分，</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应急预案科学合理，可行性</w:t>
            </w:r>
            <w:r>
              <w:rPr>
                <w:rFonts w:hint="eastAsia" w:hAnsi="宋体" w:cs="宋体"/>
                <w:color w:val="000000"/>
                <w:sz w:val="24"/>
                <w:lang w:bidi="ar"/>
              </w:rPr>
              <w:t xml:space="preserve">低的</w:t>
            </w:r>
            <w:r>
              <w:rPr>
                <w:rFonts w:hint="eastAsia" w:ascii="宋体" w:hAnsi="宋体" w:cs="宋体"/>
                <w:color w:val="000000"/>
                <w:sz w:val="24"/>
                <w:lang w:bidi="ar"/>
              </w:rPr>
              <w:t xml:space="preserve">得5分，</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未提供应急预案不得分。</w:t>
            </w:r>
            <w:r>
              <w:rPr>
                <w:rFonts w:hint="eastAsia" w:ascii="宋体" w:hAnsi="宋体" w:cs="宋体"/>
                <w:sz w:val="24"/>
              </w:rPr>
            </w:r>
            <w:r/>
          </w:p>
        </w:tc>
        <w:tc>
          <w:tcPr>
            <w:tcW w:w="368"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c>
          <w:tcPr>
            <w:tcW w:w="602" w:type="dxa"/>
            <w:vAlign w:val="center"/>
            <w:textDirection w:val="lrTb"/>
            <w:noWrap w:val="false"/>
          </w:tcPr>
          <w:p>
            <w:pPr>
              <w:pStyle w:val="1270"/>
              <w:jc w:val="center"/>
              <w:spacing w:line="440" w:lineRule="exact"/>
              <w:rPr>
                <w:rFonts w:hint="eastAsia" w:ascii="宋体" w:hAnsi="宋体" w:cs="宋体"/>
                <w:sz w:val="24"/>
                <w:highlight w:val="yellow"/>
              </w:rPr>
            </w:pPr>
            <w:r>
              <w:rPr>
                <w:rFonts w:hint="eastAsia" w:ascii="宋体" w:hAnsi="宋体" w:cs="宋体"/>
                <w:sz w:val="24"/>
                <w:highlight w:val="yellow"/>
              </w:rPr>
            </w:r>
            <w:r/>
          </w:p>
        </w:tc>
      </w:tr>
      <w:tr>
        <w:trPr/>
        <w:tc>
          <w:tcPr>
            <w:tcW w:w="253" w:type="dxa"/>
            <w:vAlign w:val="center"/>
            <w:textDirection w:val="lrTb"/>
            <w:noWrap w:val="false"/>
          </w:tcPr>
          <w:p>
            <w:pPr>
              <w:pStyle w:val="1270"/>
              <w:jc w:val="center"/>
              <w:spacing w:line="440" w:lineRule="exact"/>
              <w:rPr>
                <w:rFonts w:hint="eastAsia" w:ascii="宋体" w:hAnsi="宋体" w:cs="宋体"/>
                <w:sz w:val="24"/>
                <w:highlight w:val="yellow"/>
              </w:rPr>
            </w:pPr>
            <w:r>
              <w:rPr>
                <w:rFonts w:hint="eastAsia" w:ascii="宋体" w:hAnsi="宋体" w:cs="宋体"/>
                <w:sz w:val="24"/>
                <w:highlight w:val="yellow"/>
              </w:rPr>
            </w:r>
            <w:r/>
          </w:p>
        </w:tc>
        <w:tc>
          <w:tcPr>
            <w:tcW w:w="472" w:type="dxa"/>
            <w:vAlign w:val="center"/>
            <w:vMerge w:val="continue"/>
            <w:textDirection w:val="lrTb"/>
            <w:noWrap w:val="false"/>
          </w:tcPr>
          <w:p>
            <w:pPr>
              <w:pStyle w:val="1270"/>
              <w:jc w:val="center"/>
              <w:spacing w:line="440" w:lineRule="exact"/>
              <w:rPr>
                <w:rFonts w:hint="eastAsia" w:ascii="宋体" w:hAnsi="宋体" w:cs="宋体"/>
                <w:sz w:val="24"/>
                <w:highlight w:val="yellow"/>
              </w:rPr>
            </w:pPr>
            <w:r>
              <w:rPr>
                <w:rFonts w:hint="eastAsia" w:ascii="宋体" w:hAnsi="宋体" w:cs="宋体"/>
                <w:sz w:val="24"/>
                <w:highlight w:val="yellow"/>
              </w:rPr>
            </w:r>
            <w:r/>
          </w:p>
        </w:tc>
        <w:tc>
          <w:tcPr>
            <w:tcW w:w="457"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冷藏箱配置情况评价（2分）</w:t>
            </w:r>
            <w:r>
              <w:rPr>
                <w:rFonts w:hint="eastAsia" w:ascii="宋体" w:hAnsi="宋体" w:cs="宋体"/>
                <w:sz w:val="24"/>
              </w:rPr>
            </w:r>
            <w:r/>
          </w:p>
        </w:tc>
        <w:tc>
          <w:tcPr>
            <w:tcW w:w="2844" w:type="dxa"/>
            <w:vAlign w:val="center"/>
            <w:textDirection w:val="lrTb"/>
            <w:noWrap w:val="false"/>
          </w:tcPr>
          <w:p>
            <w:pPr>
              <w:pStyle w:val="1270"/>
              <w:jc w:val="left"/>
              <w:spacing w:line="440" w:lineRule="exact"/>
              <w:rPr>
                <w:rFonts w:hint="eastAsia" w:ascii="宋体" w:hAnsi="宋体" w:cs="宋体"/>
                <w:sz w:val="24"/>
              </w:rPr>
            </w:pPr>
            <w:r>
              <w:rPr>
                <w:rFonts w:hint="eastAsia" w:ascii="宋体" w:hAnsi="宋体" w:cs="宋体"/>
                <w:sz w:val="24"/>
              </w:rPr>
              <w:t xml:space="preserve">投标单位用于样品运输车辆应配备带温度控制显示的冷藏箱，得2分，不具备条件不得分。</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sz w:val="24"/>
              </w:rPr>
              <w:t xml:space="preserve">（提供车辆、冷藏箱购置证明或租赁合同复印件，未提供相关证明材料不得分）</w:t>
            </w:r>
            <w:r>
              <w:rPr>
                <w:rFonts w:hint="eastAsia" w:ascii="宋体" w:hAnsi="宋体" w:cs="宋体"/>
                <w:sz w:val="24"/>
              </w:rPr>
            </w:r>
            <w:r/>
          </w:p>
        </w:tc>
        <w:tc>
          <w:tcPr>
            <w:tcW w:w="368"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02" w:type="dxa"/>
            <w:vAlign w:val="center"/>
            <w:textDirection w:val="lrTb"/>
            <w:noWrap w:val="false"/>
          </w:tcPr>
          <w:p>
            <w:pPr>
              <w:pStyle w:val="1270"/>
              <w:jc w:val="center"/>
              <w:spacing w:line="440" w:lineRule="exact"/>
              <w:rPr>
                <w:rFonts w:hint="eastAsia" w:ascii="宋体" w:hAnsi="宋体" w:cs="宋体"/>
                <w:sz w:val="24"/>
                <w:highlight w:val="yellow"/>
              </w:rPr>
            </w:pPr>
            <w:r>
              <w:rPr>
                <w:rFonts w:hint="eastAsia" w:ascii="宋体" w:hAnsi="宋体" w:cs="宋体"/>
                <w:sz w:val="24"/>
                <w:highlight w:val="yellow"/>
              </w:rPr>
            </w:r>
            <w:r/>
          </w:p>
        </w:tc>
      </w:tr>
      <w:tr>
        <w:trPr/>
        <w:tc>
          <w:tcPr>
            <w:tcW w:w="253" w:type="dxa"/>
            <w:vAlign w:val="center"/>
            <w:textDirection w:val="lrTb"/>
            <w:noWrap w:val="false"/>
          </w:tcPr>
          <w:p>
            <w:pPr>
              <w:pStyle w:val="1270"/>
              <w:jc w:val="center"/>
              <w:spacing w:line="440" w:lineRule="exact"/>
              <w:rPr>
                <w:rFonts w:hint="eastAsia" w:ascii="宋体" w:hAnsi="宋体" w:cs="宋体"/>
                <w:sz w:val="24"/>
                <w:highlight w:val="yellow"/>
              </w:rPr>
            </w:pPr>
            <w:r>
              <w:rPr>
                <w:rFonts w:hint="eastAsia" w:ascii="宋体" w:hAnsi="宋体" w:cs="宋体"/>
                <w:sz w:val="24"/>
                <w:highlight w:val="yellow"/>
              </w:rPr>
            </w:r>
            <w:r/>
          </w:p>
        </w:tc>
        <w:tc>
          <w:tcPr>
            <w:tcW w:w="472" w:type="dxa"/>
            <w:vAlign w:val="center"/>
            <w:vMerge w:val="continue"/>
            <w:textDirection w:val="lrTb"/>
            <w:noWrap w:val="false"/>
          </w:tcPr>
          <w:p>
            <w:pPr>
              <w:pStyle w:val="1270"/>
              <w:jc w:val="center"/>
              <w:spacing w:line="440" w:lineRule="exact"/>
              <w:rPr>
                <w:rFonts w:hint="eastAsia" w:ascii="宋体" w:hAnsi="宋体" w:cs="宋体"/>
                <w:sz w:val="24"/>
                <w:highlight w:val="yellow"/>
              </w:rPr>
            </w:pPr>
            <w:r>
              <w:rPr>
                <w:rFonts w:hint="eastAsia" w:ascii="宋体" w:hAnsi="宋体" w:cs="宋体"/>
                <w:sz w:val="24"/>
                <w:highlight w:val="yellow"/>
              </w:rPr>
            </w:r>
            <w:r/>
          </w:p>
        </w:tc>
        <w:tc>
          <w:tcPr>
            <w:tcW w:w="457"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投入设备评价</w:t>
            </w:r>
            <w:r>
              <w:rPr>
                <w:rFonts w:hint="eastAsia" w:ascii="宋体" w:hAnsi="宋体" w:cs="宋体"/>
                <w:sz w:val="24"/>
              </w:rPr>
            </w:r>
            <w:r/>
          </w:p>
        </w:tc>
        <w:tc>
          <w:tcPr>
            <w:tcW w:w="2844" w:type="dxa"/>
            <w:vAlign w:val="center"/>
            <w:textDirection w:val="lrTb"/>
            <w:noWrap w:val="false"/>
          </w:tcPr>
          <w:p>
            <w:pPr>
              <w:pStyle w:val="1270"/>
              <w:jc w:val="left"/>
              <w:spacing w:line="440" w:lineRule="exact"/>
              <w:rPr>
                <w:rFonts w:hint="eastAsia" w:ascii="宋体" w:hAnsi="宋体" w:cs="宋体"/>
                <w:sz w:val="24"/>
              </w:rPr>
            </w:pPr>
            <w:r>
              <w:rPr>
                <w:rFonts w:hint="eastAsia" w:ascii="宋体" w:hAnsi="宋体" w:cs="宋体"/>
                <w:sz w:val="24"/>
              </w:rPr>
              <w:t xml:space="preserve">供应商提供持有质控使用工具（PH、溶解氧、电导率、浊度）校准证书，提供一份得3分，最高6分，没有不得分。</w:t>
            </w:r>
            <w:r>
              <w:rPr>
                <w:rFonts w:hint="eastAsia" w:ascii="宋体" w:hAnsi="宋体" w:cs="宋体"/>
                <w:sz w:val="24"/>
              </w:rPr>
              <w:br w:type="textWrapping" w:clear="all"/>
            </w:r>
            <w:r>
              <w:rPr>
                <w:rFonts w:hint="eastAsia" w:ascii="宋体" w:hAnsi="宋体" w:cs="宋体"/>
                <w:sz w:val="24"/>
              </w:rPr>
              <w:t xml:space="preserve">注：投标文件中须提供工具校准证书证明材料，未提供的不得分。</w:t>
            </w:r>
            <w:r>
              <w:rPr>
                <w:rFonts w:hint="eastAsia" w:ascii="宋体" w:hAnsi="宋体" w:cs="宋体"/>
                <w:sz w:val="24"/>
              </w:rPr>
            </w:r>
            <w:r/>
          </w:p>
        </w:tc>
        <w:tc>
          <w:tcPr>
            <w:tcW w:w="368"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602" w:type="dxa"/>
            <w:vAlign w:val="center"/>
            <w:textDirection w:val="lrTb"/>
            <w:noWrap w:val="false"/>
          </w:tcPr>
          <w:p>
            <w:pPr>
              <w:pStyle w:val="1270"/>
              <w:jc w:val="center"/>
              <w:spacing w:line="440" w:lineRule="exact"/>
              <w:rPr>
                <w:rFonts w:hint="eastAsia" w:ascii="宋体" w:hAnsi="宋体" w:cs="宋体"/>
                <w:sz w:val="24"/>
                <w:highlight w:val="yellow"/>
              </w:rPr>
            </w:pPr>
            <w:r>
              <w:rPr>
                <w:rFonts w:hint="eastAsia" w:ascii="宋体" w:hAnsi="宋体" w:cs="宋体"/>
                <w:sz w:val="24"/>
                <w:highlight w:val="yellow"/>
              </w:rPr>
            </w:r>
            <w:r/>
          </w:p>
        </w:tc>
      </w:tr>
      <w:tr>
        <w:trPr/>
        <w:tc>
          <w:tcPr>
            <w:tcW w:w="25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W w:w="472" w:type="dxa"/>
            <w:vAlign w:val="center"/>
            <w:vMerge w:val="continue"/>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r>
            <w:r/>
          </w:p>
        </w:tc>
        <w:tc>
          <w:tcPr>
            <w:tcW w:w="457"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驻地机构</w:t>
            </w:r>
            <w:r>
              <w:rPr>
                <w:rFonts w:hint="eastAsia" w:ascii="宋体" w:hAnsi="宋体" w:cs="宋体"/>
                <w:sz w:val="24"/>
              </w:rPr>
            </w:r>
            <w:r/>
          </w:p>
        </w:tc>
        <w:tc>
          <w:tcPr>
            <w:tcW w:w="2844" w:type="dxa"/>
            <w:vAlign w:val="center"/>
            <w:textDirection w:val="lrTb"/>
            <w:noWrap w:val="false"/>
          </w:tcPr>
          <w:p>
            <w:pPr>
              <w:pStyle w:val="1270"/>
              <w:jc w:val="left"/>
              <w:spacing w:line="440" w:lineRule="exact"/>
              <w:rPr>
                <w:rFonts w:hint="eastAsia" w:ascii="宋体" w:hAnsi="宋体" w:cs="宋体"/>
                <w:sz w:val="24"/>
              </w:rPr>
            </w:pPr>
            <w:r>
              <w:rPr>
                <w:rFonts w:hint="eastAsia" w:ascii="宋体" w:hAnsi="宋体" w:cs="宋体"/>
                <w:sz w:val="24"/>
              </w:rPr>
              <w:t xml:space="preserve">在常州地区已设立或承诺设立分支机构或办事处的得2分，否则不得分。</w:t>
            </w:r>
            <w:r>
              <w:rPr>
                <w:rFonts w:hint="eastAsia" w:ascii="宋体" w:hAnsi="宋体" w:cs="宋体"/>
                <w:sz w:val="24"/>
              </w:rPr>
            </w:r>
            <w:r/>
          </w:p>
        </w:tc>
        <w:tc>
          <w:tcPr>
            <w:tcW w:w="368"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02"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r>
            <w:r/>
          </w:p>
        </w:tc>
      </w:tr>
    </w:tbl>
    <w:p>
      <w:pPr>
        <w:pStyle w:val="1270"/>
        <w:rPr>
          <w:rFonts w:hint="eastAsia"/>
        </w:rPr>
      </w:pPr>
      <w:r>
        <w:rPr>
          <w:rFonts w:hint="eastAsia"/>
        </w:rPr>
      </w:r>
      <w:r/>
    </w:p>
    <w:p>
      <w:pPr>
        <w:pStyle w:val="1270"/>
        <w:rPr>
          <w:rFonts w:hint="eastAsia"/>
        </w:rPr>
      </w:pPr>
      <w:r>
        <w:rPr>
          <w:rFonts w:hint="eastAsia"/>
        </w:rPr>
      </w:r>
      <w:r/>
    </w:p>
    <w:p>
      <w:pPr>
        <w:pStyle w:val="1270"/>
        <w:jc w:val="left"/>
        <w:rPr>
          <w:rFonts w:hint="eastAsia"/>
          <w:sz w:val="24"/>
        </w:rPr>
      </w:pPr>
      <w:r/>
      <w:bookmarkEnd w:id="671"/>
      <w:r/>
      <w:bookmarkEnd w:id="672"/>
      <w:r/>
      <w:bookmarkStart w:id="673" w:name="_Toc104818928"/>
      <w:r>
        <w:rPr>
          <w:rFonts w:hint="eastAsia"/>
          <w:sz w:val="24"/>
        </w:rPr>
        <w:t xml:space="preserve">采购包四： </w:t>
      </w:r>
      <w:r>
        <w:rPr>
          <w:rFonts w:hint="eastAsia"/>
          <w:sz w:val="24"/>
        </w:rPr>
      </w:r>
      <w:r/>
    </w:p>
    <w:tbl>
      <w:tblPr>
        <w:tblW w:w="5076" w:type="pct"/>
        <w:jc w:val="center"/>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right w:w="0" w:type="dxa"/>
        </w:tblCellMar>
        <w:tblLook w:val="04A0" w:firstRow="1" w:lastRow="0" w:firstColumn="1" w:lastColumn="0" w:noHBand="0" w:noVBand="1"/>
      </w:tblPr>
      <w:tblGrid>
        <w:gridCol w:w="443"/>
        <w:gridCol w:w="921"/>
        <w:gridCol w:w="7665"/>
        <w:gridCol w:w="558"/>
      </w:tblGrid>
      <w:tr>
        <w:trPr/>
        <w:tc>
          <w:tcPr>
            <w:tcW w:w="231"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480"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w:t>
            </w:r>
            <w:r>
              <w:rPr>
                <w:rFonts w:hint="eastAsia" w:ascii="宋体" w:hAnsi="宋体" w:eastAsia="宋体" w:cs="宋体"/>
                <w:sz w:val="24"/>
                <w:szCs w:val="24"/>
              </w:rPr>
            </w:r>
            <w:r/>
          </w:p>
        </w:tc>
        <w:tc>
          <w:tcPr>
            <w:tcW w:w="3996"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评分依据</w:t>
            </w:r>
            <w:r>
              <w:rPr>
                <w:rFonts w:hint="eastAsia" w:ascii="宋体" w:hAnsi="宋体" w:eastAsia="宋体" w:cs="宋体"/>
                <w:sz w:val="24"/>
                <w:szCs w:val="24"/>
              </w:rPr>
            </w:r>
            <w:r/>
          </w:p>
        </w:tc>
        <w:tc>
          <w:tcPr>
            <w:tcW w:w="291"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分值</w:t>
            </w:r>
            <w:r>
              <w:rPr>
                <w:rFonts w:hint="eastAsia" w:ascii="宋体" w:hAnsi="宋体" w:eastAsia="宋体" w:cs="宋体"/>
                <w:sz w:val="24"/>
                <w:szCs w:val="24"/>
              </w:rPr>
            </w:r>
            <w:r/>
          </w:p>
        </w:tc>
      </w:tr>
      <w:tr>
        <w:trPr/>
        <w:tc>
          <w:tcPr>
            <w:tcW w:w="231"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480"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价格分（20分）</w:t>
            </w:r>
            <w:r>
              <w:rPr>
                <w:rFonts w:hint="eastAsia" w:ascii="宋体" w:hAnsi="宋体" w:eastAsia="宋体" w:cs="宋体"/>
                <w:sz w:val="24"/>
                <w:szCs w:val="24"/>
                <w:lang w:val="en-US" w:eastAsia="zh-CN"/>
              </w:rPr>
            </w:r>
            <w:r/>
          </w:p>
        </w:tc>
        <w:tc>
          <w:tcPr>
            <w:tcW w:w="3996" w:type="dxa"/>
            <w:vAlign w:val="center"/>
            <w:textDirection w:val="lrTb"/>
            <w:noWrap w:val="false"/>
          </w:tcPr>
          <w:p>
            <w:pPr>
              <w:pStyle w:val="127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价格分采用低价优先法计算，即满足磋商文件要求且磋商价格最低的磋商报价为磋商基准价，其价格分为满分。其他供应商的价格分统一按照下列公式计算（计算结果四舍五入保留两位小数）：</w:t>
            </w:r>
            <w:r>
              <w:rPr>
                <w:rFonts w:hint="eastAsia" w:ascii="宋体" w:hAnsi="宋体" w:eastAsia="宋体" w:cs="宋体"/>
                <w:sz w:val="24"/>
                <w:szCs w:val="24"/>
              </w:rPr>
            </w:r>
            <w:r/>
          </w:p>
          <w:p>
            <w:pPr>
              <w:pStyle w:val="127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磋商报价得分=（磋商基准价/最后磋商报价）×价格权值×100</w:t>
            </w:r>
            <w:r>
              <w:rPr>
                <w:rFonts w:hint="eastAsia" w:ascii="宋体" w:hAnsi="宋体" w:eastAsia="宋体" w:cs="宋体"/>
                <w:sz w:val="24"/>
                <w:szCs w:val="24"/>
              </w:rPr>
            </w:r>
            <w:r/>
          </w:p>
        </w:tc>
        <w:tc>
          <w:tcPr>
            <w:tcW w:w="291" w:type="dxa"/>
            <w:vAlign w:val="center"/>
            <w:textDirection w:val="lrTb"/>
            <w:noWrap w:val="false"/>
          </w:tcPr>
          <w:p>
            <w:pPr>
              <w:pStyle w:val="1270"/>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r>
      <w:tr>
        <w:trPr/>
        <w:tc>
          <w:tcPr>
            <w:tcW w:w="231" w:type="dxa"/>
            <w:vAlign w:val="center"/>
            <w:vMerge w:val="restart"/>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480" w:type="dxa"/>
            <w:vAlign w:val="center"/>
            <w:vMerge w:val="restart"/>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服务方案</w:t>
            </w:r>
            <w:r>
              <w:rPr>
                <w:rFonts w:hint="eastAsia" w:ascii="宋体" w:hAnsi="宋体" w:eastAsia="宋体" w:cs="宋体"/>
                <w:sz w:val="24"/>
                <w:szCs w:val="24"/>
              </w:rPr>
            </w:r>
            <w:r/>
          </w:p>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(50分)</w:t>
            </w:r>
            <w:r>
              <w:rPr>
                <w:rFonts w:hint="eastAsia" w:ascii="宋体" w:hAnsi="宋体" w:eastAsia="宋体" w:cs="宋体"/>
                <w:sz w:val="24"/>
                <w:szCs w:val="24"/>
              </w:rPr>
            </w:r>
            <w:r/>
          </w:p>
        </w:tc>
        <w:tc>
          <w:tcPr>
            <w:tcW w:w="3996" w:type="dxa"/>
            <w:vAlign w:val="center"/>
            <w:textDirection w:val="lrTb"/>
            <w:noWrap w:val="false"/>
          </w:tcPr>
          <w:p>
            <w:pPr>
              <w:pStyle w:val="1270"/>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bCs/>
                <w:sz w:val="24"/>
                <w:szCs w:val="24"/>
              </w:rPr>
              <w:t xml:space="preserve">（1）</w:t>
            </w:r>
            <w:r>
              <w:rPr>
                <w:rFonts w:hint="eastAsia" w:ascii="宋体" w:hAnsi="宋体" w:eastAsia="宋体" w:cs="宋体"/>
                <w:b/>
                <w:sz w:val="24"/>
                <w:szCs w:val="24"/>
              </w:rPr>
              <w:t xml:space="preserve">空气自动站监控系统维护（包括中心站及子站，日常、月度、季度、 年维护等）：10分</w:t>
            </w:r>
            <w:r>
              <w:rPr>
                <w:rFonts w:hint="eastAsia" w:ascii="宋体" w:hAnsi="宋体" w:eastAsia="宋体" w:cs="宋体"/>
                <w:b/>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a)方案完全满足项目需求，能科学合理的开展工作，得10分；</w:t>
            </w:r>
            <w:r>
              <w:rPr>
                <w:rFonts w:hint="eastAsia" w:ascii="宋体" w:hAnsi="宋体" w:eastAsia="宋体" w:cs="宋体"/>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b)方案合理，符合相关标准和规范，基本满足项目需求的，得7分；</w:t>
            </w:r>
            <w:r>
              <w:rPr>
                <w:rFonts w:hint="eastAsia" w:ascii="宋体" w:hAnsi="宋体" w:eastAsia="宋体" w:cs="宋体"/>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c)方案基本合理、基本符合相关标准和规范，但在满足项目需求方面欠缺，思路欠清晰的，得4分； </w:t>
            </w:r>
            <w:r>
              <w:rPr>
                <w:rFonts w:hint="eastAsia" w:ascii="宋体" w:hAnsi="宋体" w:eastAsia="宋体" w:cs="宋体"/>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d)方案部分合理、部分符合相关标准和规范，不能满足项目的大部分需求的，得2分； </w:t>
            </w:r>
            <w:r>
              <w:rPr>
                <w:rFonts w:hint="eastAsia" w:ascii="宋体" w:hAnsi="宋体" w:eastAsia="宋体" w:cs="宋体"/>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e)未提供方案的不得分。</w:t>
            </w:r>
            <w:r>
              <w:rPr>
                <w:rFonts w:hint="eastAsia" w:ascii="宋体" w:hAnsi="宋体" w:eastAsia="宋体" w:cs="宋体"/>
                <w:sz w:val="24"/>
                <w:szCs w:val="24"/>
              </w:rPr>
            </w:r>
            <w:r/>
          </w:p>
        </w:tc>
        <w:tc>
          <w:tcPr>
            <w:tcW w:w="291"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r>
      <w:tr>
        <w:trPr/>
        <w:tc>
          <w:tcPr>
            <w:tcW w:w="231" w:type="dxa"/>
            <w:vAlign w:val="center"/>
            <w:vMerge w:val="continue"/>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480" w:type="dxa"/>
            <w:vAlign w:val="center"/>
            <w:vMerge w:val="continue"/>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996" w:type="dxa"/>
            <w:vAlign w:val="center"/>
            <w:textDirection w:val="lrTb"/>
            <w:noWrap w:val="false"/>
          </w:tcPr>
          <w:p>
            <w:pPr>
              <w:pStyle w:val="1270"/>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（2）系统数据库维护（包括每周、每月、每半年对数据库运行开展不同内 容的检查维护）：8 分 </w:t>
            </w:r>
            <w:r>
              <w:rPr>
                <w:rFonts w:hint="eastAsia" w:ascii="宋体" w:hAnsi="宋体" w:eastAsia="宋体" w:cs="宋体"/>
                <w:b/>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a)方案完全满足项目需求，能科学合理的开展工作，得8分；</w:t>
            </w:r>
            <w:r>
              <w:rPr>
                <w:rFonts w:hint="eastAsia" w:ascii="宋体" w:hAnsi="宋体" w:eastAsia="宋体" w:cs="宋体"/>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b)方案合理，符合相关标准和规范，基本满足项目需求的，得5分；</w:t>
            </w:r>
            <w:r>
              <w:rPr>
                <w:rFonts w:hint="eastAsia" w:ascii="宋体" w:hAnsi="宋体" w:eastAsia="宋体" w:cs="宋体"/>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c)方案基本合理、基本符合相关标准和规范，但在满足项目需求方面欠缺， 思路欠清晰的，得3分； </w:t>
            </w:r>
            <w:r>
              <w:rPr>
                <w:rFonts w:hint="eastAsia" w:ascii="宋体" w:hAnsi="宋体" w:eastAsia="宋体" w:cs="宋体"/>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d)方案部分合理、部分符合相关标准和规范，不能满足项目的大部分需求的， 得1分； </w:t>
            </w:r>
            <w:r>
              <w:rPr>
                <w:rFonts w:hint="eastAsia" w:ascii="宋体" w:hAnsi="宋体" w:eastAsia="宋体" w:cs="宋体"/>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e)未提供方案的不得分。 </w:t>
            </w:r>
            <w:r>
              <w:rPr>
                <w:rFonts w:hint="eastAsia" w:ascii="宋体" w:hAnsi="宋体" w:eastAsia="宋体" w:cs="宋体"/>
                <w:sz w:val="24"/>
                <w:szCs w:val="24"/>
              </w:rPr>
            </w:r>
            <w:r/>
          </w:p>
        </w:tc>
        <w:tc>
          <w:tcPr>
            <w:tcW w:w="291"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r>
      <w:tr>
        <w:trPr/>
        <w:tc>
          <w:tcPr>
            <w:tcW w:w="231" w:type="dxa"/>
            <w:vAlign w:val="center"/>
            <w:vMerge w:val="continue"/>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480" w:type="dxa"/>
            <w:vAlign w:val="center"/>
            <w:vMerge w:val="continue"/>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996" w:type="dxa"/>
            <w:vAlign w:val="center"/>
            <w:textDirection w:val="lrTb"/>
            <w:noWrap w:val="false"/>
          </w:tcPr>
          <w:p>
            <w:pPr>
              <w:pStyle w:val="1270"/>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（3）平台与接口维护（包括平台功能、数据补调、审核同步、数据接口等）：8 分 </w:t>
            </w:r>
            <w:r>
              <w:rPr>
                <w:rFonts w:hint="eastAsia" w:ascii="宋体" w:hAnsi="宋体" w:eastAsia="宋体" w:cs="宋体"/>
                <w:b/>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a)方案完全满足项目需求，能科学合理的开展工作，得 8 分； </w:t>
            </w:r>
            <w:r>
              <w:rPr>
                <w:rFonts w:hint="eastAsia" w:ascii="宋体" w:hAnsi="宋体" w:eastAsia="宋体" w:cs="宋体"/>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b)方案合理，符合相关标准和规范，基本满足项目需求的，得6 分； </w:t>
            </w:r>
            <w:r>
              <w:rPr>
                <w:rFonts w:hint="eastAsia" w:ascii="宋体" w:hAnsi="宋体" w:eastAsia="宋体" w:cs="宋体"/>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c)方案基本合理、基本符合相关标准和规范，但在满足项目需求方面欠缺， 思路欠清晰的，得 4 分； </w:t>
            </w:r>
            <w:r>
              <w:rPr>
                <w:rFonts w:hint="eastAsia" w:ascii="宋体" w:hAnsi="宋体" w:eastAsia="宋体" w:cs="宋体"/>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d)方案部分合理、部分符合相关标准和规范，不能满足项目的大部分需求的， 得 2 分； </w:t>
            </w:r>
            <w:r>
              <w:rPr>
                <w:rFonts w:hint="eastAsia" w:ascii="宋体" w:hAnsi="宋体" w:eastAsia="宋体" w:cs="宋体"/>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e)未提供方案的不得分。 </w:t>
            </w:r>
            <w:r>
              <w:rPr>
                <w:rFonts w:hint="eastAsia" w:ascii="宋体" w:hAnsi="宋体" w:eastAsia="宋体" w:cs="宋体"/>
                <w:sz w:val="24"/>
                <w:szCs w:val="24"/>
              </w:rPr>
            </w:r>
            <w:r/>
          </w:p>
        </w:tc>
        <w:tc>
          <w:tcPr>
            <w:tcW w:w="291"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r>
      <w:tr>
        <w:trPr/>
        <w:tc>
          <w:tcPr>
            <w:tcW w:w="231" w:type="dxa"/>
            <w:vAlign w:val="center"/>
            <w:vMerge w:val="continue"/>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480" w:type="dxa"/>
            <w:vAlign w:val="center"/>
            <w:vMerge w:val="continue"/>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996" w:type="dxa"/>
            <w:vAlign w:val="center"/>
            <w:textDirection w:val="lrTb"/>
            <w:noWrap w:val="false"/>
          </w:tcPr>
          <w:p>
            <w:pPr>
              <w:pStyle w:val="1270"/>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（4）省控点数据同步（保证数据一致性）：8 分 </w:t>
            </w:r>
            <w:r>
              <w:rPr>
                <w:rFonts w:hint="eastAsia" w:ascii="宋体" w:hAnsi="宋体" w:eastAsia="宋体" w:cs="宋体"/>
                <w:b/>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a)方案完全满足项目需求，数据一致性保证合理，得8分； </w:t>
            </w:r>
            <w:r>
              <w:rPr>
                <w:rFonts w:hint="eastAsia" w:ascii="宋体" w:hAnsi="宋体" w:eastAsia="宋体" w:cs="宋体"/>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b)方案合理，基本满足项目需求的，得6分； </w:t>
            </w:r>
            <w:r>
              <w:rPr>
                <w:rFonts w:hint="eastAsia" w:ascii="宋体" w:hAnsi="宋体" w:eastAsia="宋体" w:cs="宋体"/>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c)方案基本合理，但在满足项目需求方面欠缺，思路欠清晰的，得4分； </w:t>
            </w:r>
            <w:r>
              <w:rPr>
                <w:rFonts w:hint="eastAsia" w:ascii="宋体" w:hAnsi="宋体" w:eastAsia="宋体" w:cs="宋体"/>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d)方案部分合理，不能满足项目的大部分需求的，得2分； </w:t>
            </w:r>
            <w:r>
              <w:rPr>
                <w:rFonts w:hint="eastAsia" w:ascii="宋体" w:hAnsi="宋体" w:eastAsia="宋体" w:cs="宋体"/>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e)未提供方案的不得分。</w:t>
            </w:r>
            <w:r>
              <w:rPr>
                <w:rFonts w:hint="eastAsia" w:ascii="宋体" w:hAnsi="宋体" w:eastAsia="宋体" w:cs="宋体"/>
                <w:sz w:val="24"/>
                <w:szCs w:val="24"/>
              </w:rPr>
            </w:r>
            <w:r/>
          </w:p>
        </w:tc>
        <w:tc>
          <w:tcPr>
            <w:tcW w:w="291"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r>
      <w:tr>
        <w:trPr/>
        <w:tc>
          <w:tcPr>
            <w:tcW w:w="231" w:type="dxa"/>
            <w:vAlign w:val="center"/>
            <w:vMerge w:val="continue"/>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480" w:type="dxa"/>
            <w:vAlign w:val="center"/>
            <w:vMerge w:val="continue"/>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996" w:type="dxa"/>
            <w:vAlign w:val="center"/>
            <w:textDirection w:val="lrTb"/>
            <w:noWrap w:val="false"/>
          </w:tcPr>
          <w:p>
            <w:pPr>
              <w:pStyle w:val="1275"/>
              <w:keepLines w:val="0"/>
              <w:keepNext w:val="0"/>
              <w:pageBreakBefore w:val="0"/>
              <w:spacing w:before="0" w:line="440" w:lineRule="exact"/>
              <w:widowControl w:val="off"/>
              <w:tabs>
                <w:tab w:val="left" w:pos="567"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（5）国家直连网数据传输维护：8 分</w:t>
            </w:r>
            <w:r>
              <w:rPr>
                <w:rFonts w:hint="eastAsia" w:ascii="宋体" w:hAnsi="宋体" w:eastAsia="宋体" w:cs="宋体"/>
                <w:b/>
                <w:bCs/>
                <w:color w:val="000000"/>
                <w:sz w:val="24"/>
                <w:szCs w:val="24"/>
              </w:rPr>
            </w:r>
            <w:r/>
          </w:p>
          <w:p>
            <w:pPr>
              <w:pStyle w:val="127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a)方案完全满足项目需求，数据传输准确可靠，得 8 分； </w:t>
            </w:r>
            <w:r>
              <w:rPr>
                <w:rFonts w:hint="eastAsia" w:ascii="宋体" w:hAnsi="宋体" w:eastAsia="宋体" w:cs="宋体"/>
                <w:color w:val="000000"/>
                <w:sz w:val="24"/>
                <w:szCs w:val="24"/>
              </w:rPr>
            </w:r>
            <w:r/>
          </w:p>
          <w:p>
            <w:pPr>
              <w:pStyle w:val="127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b)方案合理，基本满足项目需求的，得 6 分； </w:t>
            </w:r>
            <w:r>
              <w:rPr>
                <w:rFonts w:hint="eastAsia" w:ascii="宋体" w:hAnsi="宋体" w:eastAsia="宋体" w:cs="宋体"/>
                <w:color w:val="000000"/>
                <w:sz w:val="24"/>
                <w:szCs w:val="24"/>
              </w:rPr>
            </w:r>
            <w:r/>
          </w:p>
          <w:p>
            <w:pPr>
              <w:pStyle w:val="127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c)方案基本合理，但在满足项目需求方面欠缺，思路欠清晰的，得4 分； </w:t>
            </w:r>
            <w:r>
              <w:rPr>
                <w:rFonts w:hint="eastAsia" w:ascii="宋体" w:hAnsi="宋体" w:eastAsia="宋体" w:cs="宋体"/>
                <w:color w:val="000000"/>
                <w:sz w:val="24"/>
                <w:szCs w:val="24"/>
              </w:rPr>
            </w:r>
            <w:r/>
          </w:p>
          <w:p>
            <w:pPr>
              <w:pStyle w:val="127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d)方案部分合理，不能满足项目的大部分需求的，得 2 分；</w:t>
            </w:r>
            <w:r>
              <w:rPr>
                <w:rFonts w:hint="eastAsia" w:ascii="宋体" w:hAnsi="宋体" w:eastAsia="宋体" w:cs="宋体"/>
                <w:color w:val="000000"/>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e)未提供方案的不得分。 </w:t>
            </w:r>
            <w:r>
              <w:rPr>
                <w:rFonts w:hint="eastAsia" w:ascii="宋体" w:hAnsi="宋体" w:eastAsia="宋体" w:cs="宋体"/>
                <w:sz w:val="24"/>
                <w:szCs w:val="24"/>
              </w:rPr>
            </w:r>
            <w:r/>
          </w:p>
        </w:tc>
        <w:tc>
          <w:tcPr>
            <w:tcW w:w="291"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r>
      <w:tr>
        <w:trPr/>
        <w:tc>
          <w:tcPr>
            <w:tcW w:w="231" w:type="dxa"/>
            <w:vAlign w:val="center"/>
            <w:vMerge w:val="continue"/>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480" w:type="dxa"/>
            <w:vAlign w:val="center"/>
            <w:vMerge w:val="continue"/>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996" w:type="dxa"/>
            <w:vAlign w:val="center"/>
            <w:textDirection w:val="lrTb"/>
            <w:noWrap w:val="false"/>
          </w:tcPr>
          <w:p>
            <w:pPr>
              <w:pStyle w:val="1270"/>
              <w:keepLines w:val="0"/>
              <w:keepNext w:val="0"/>
              <w:pageBreakBefore w:val="0"/>
              <w:spacing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（6）省控、市控水质自动站集成：8 分 </w:t>
            </w:r>
            <w:r>
              <w:rPr>
                <w:rFonts w:hint="eastAsia" w:ascii="宋体" w:hAnsi="宋体" w:eastAsia="宋体" w:cs="宋体"/>
                <w:b/>
                <w:bCs/>
                <w:color w:val="000000"/>
                <w:sz w:val="24"/>
                <w:szCs w:val="24"/>
              </w:rPr>
            </w:r>
            <w:r/>
          </w:p>
          <w:p>
            <w:pPr>
              <w:pStyle w:val="127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a)方案完全满足项目需求，数据传输准确可靠，得8分； </w:t>
            </w:r>
            <w:r>
              <w:rPr>
                <w:rFonts w:hint="eastAsia" w:ascii="宋体" w:hAnsi="宋体" w:eastAsia="宋体" w:cs="宋体"/>
                <w:color w:val="000000"/>
                <w:sz w:val="24"/>
                <w:szCs w:val="24"/>
              </w:rPr>
            </w:r>
            <w:r/>
          </w:p>
          <w:p>
            <w:pPr>
              <w:pStyle w:val="127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b)方案合理，基本满足项目需求的，得5分； </w:t>
            </w:r>
            <w:r>
              <w:rPr>
                <w:rFonts w:hint="eastAsia" w:ascii="宋体" w:hAnsi="宋体" w:eastAsia="宋体" w:cs="宋体"/>
                <w:color w:val="000000"/>
                <w:sz w:val="24"/>
                <w:szCs w:val="24"/>
              </w:rPr>
            </w:r>
            <w:r/>
          </w:p>
          <w:p>
            <w:pPr>
              <w:pStyle w:val="127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c)方案基本合理，但在满足项目需求方面欠缺，思路欠清晰的，得2 分；</w:t>
            </w:r>
            <w:r>
              <w:rPr>
                <w:rFonts w:hint="eastAsia" w:ascii="宋体" w:hAnsi="宋体" w:eastAsia="宋体" w:cs="宋体"/>
                <w:color w:val="000000"/>
                <w:sz w:val="24"/>
                <w:szCs w:val="24"/>
              </w:rPr>
            </w:r>
            <w:r/>
          </w:p>
          <w:p>
            <w:pPr>
              <w:pStyle w:val="1270"/>
              <w:keepLines w:val="0"/>
              <w:keepNext w:val="0"/>
              <w:pageBreakBefore w:val="0"/>
              <w:spacing w:line="440" w:lineRule="exact"/>
              <w:widowControl w:val="off"/>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d)方案不合理，不能满足项目需求的，不得分。</w:t>
            </w:r>
            <w:r>
              <w:rPr>
                <w:rFonts w:hint="eastAsia" w:ascii="宋体" w:hAnsi="宋体" w:eastAsia="宋体" w:cs="宋体"/>
                <w:b/>
                <w:bCs/>
                <w:color w:val="000000"/>
                <w:sz w:val="24"/>
                <w:szCs w:val="24"/>
              </w:rPr>
            </w:r>
            <w:r/>
          </w:p>
        </w:tc>
        <w:tc>
          <w:tcPr>
            <w:tcW w:w="291"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r>
      <w:tr>
        <w:trPr/>
        <w:tc>
          <w:tcPr>
            <w:tcW w:w="231"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480"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业绩</w:t>
            </w:r>
            <w:r>
              <w:rPr>
                <w:rFonts w:hint="eastAsia" w:ascii="宋体" w:hAnsi="宋体" w:eastAsia="宋体" w:cs="宋体"/>
                <w:sz w:val="24"/>
                <w:szCs w:val="24"/>
              </w:rPr>
            </w:r>
            <w:r/>
          </w:p>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（16分）</w:t>
            </w:r>
            <w:r>
              <w:rPr>
                <w:rFonts w:hint="eastAsia" w:ascii="宋体" w:hAnsi="宋体" w:eastAsia="宋体" w:cs="宋体"/>
                <w:sz w:val="24"/>
                <w:szCs w:val="24"/>
              </w:rPr>
            </w:r>
            <w:r/>
          </w:p>
        </w:tc>
        <w:tc>
          <w:tcPr>
            <w:tcW w:w="3996" w:type="dxa"/>
            <w:vAlign w:val="center"/>
            <w:textDirection w:val="lrTb"/>
            <w:noWrap w:val="false"/>
          </w:tcPr>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供应商自 2023 年 1 月 1 日以来（以合同签订时间为准）具有类似环境空气 质量自动监测平台运维服务或者开发项目业绩，有一个合同得4分，最多得 16 分。（须提供原件扫描件或者复印件加盖公章后的扫描件。）</w:t>
            </w:r>
            <w:r>
              <w:rPr>
                <w:rFonts w:hint="eastAsia" w:ascii="宋体" w:hAnsi="宋体" w:eastAsia="宋体" w:cs="宋体"/>
                <w:sz w:val="24"/>
                <w:szCs w:val="24"/>
              </w:rPr>
            </w:r>
            <w:r/>
          </w:p>
        </w:tc>
        <w:tc>
          <w:tcPr>
            <w:tcW w:w="291"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rPr>
            </w:r>
            <w:r/>
          </w:p>
        </w:tc>
      </w:tr>
      <w:tr>
        <w:trPr/>
        <w:tc>
          <w:tcPr>
            <w:tcW w:w="231"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480"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能力保障</w:t>
            </w:r>
            <w:r>
              <w:rPr>
                <w:rFonts w:hint="eastAsia" w:ascii="宋体" w:hAnsi="宋体" w:eastAsia="宋体" w:cs="宋体"/>
                <w:bCs/>
                <w:color w:val="000000"/>
                <w:sz w:val="24"/>
                <w:szCs w:val="24"/>
              </w:rPr>
            </w:r>
            <w:r/>
          </w:p>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color w:val="000000"/>
                <w:sz w:val="24"/>
                <w:szCs w:val="24"/>
              </w:rPr>
              <w:t xml:space="preserve">（5分）</w:t>
            </w:r>
            <w:r>
              <w:rPr>
                <w:rFonts w:hint="eastAsia" w:ascii="宋体" w:hAnsi="宋体" w:eastAsia="宋体" w:cs="宋体"/>
                <w:sz w:val="24"/>
                <w:szCs w:val="24"/>
              </w:rPr>
            </w:r>
            <w:r/>
          </w:p>
        </w:tc>
        <w:tc>
          <w:tcPr>
            <w:tcW w:w="3996" w:type="dxa"/>
            <w:vAlign w:val="center"/>
            <w:textDirection w:val="lrTb"/>
            <w:noWrap w:val="false"/>
          </w:tcPr>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供应商具有环境质量类，空气质量类，空气污染类软件著作权或专利证书，每提供一个软件著作权或专利证书得1分，最多得5 分。（须提供软件著作权证 书或专利证书原件扫描件或者复印件加盖公章后的扫描件。）</w:t>
            </w:r>
            <w:r>
              <w:rPr>
                <w:rFonts w:hint="eastAsia" w:ascii="宋体" w:hAnsi="宋体" w:eastAsia="宋体" w:cs="宋体"/>
                <w:sz w:val="24"/>
                <w:szCs w:val="24"/>
              </w:rPr>
            </w:r>
            <w:r/>
          </w:p>
        </w:tc>
        <w:tc>
          <w:tcPr>
            <w:tcW w:w="291"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r>
      <w:tr>
        <w:trPr/>
        <w:tc>
          <w:tcPr>
            <w:tcW w:w="231"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W w:w="480"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安全保障</w:t>
            </w:r>
            <w:r>
              <w:rPr>
                <w:rFonts w:hint="eastAsia" w:ascii="宋体" w:hAnsi="宋体" w:eastAsia="宋体" w:cs="宋体"/>
                <w:bCs/>
                <w:color w:val="000000"/>
                <w:sz w:val="24"/>
                <w:szCs w:val="24"/>
              </w:rPr>
            </w:r>
            <w:r/>
          </w:p>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（7分）</w:t>
            </w:r>
            <w:r>
              <w:rPr>
                <w:rFonts w:hint="eastAsia" w:ascii="宋体" w:hAnsi="宋体" w:eastAsia="宋体" w:cs="宋体"/>
                <w:sz w:val="24"/>
                <w:szCs w:val="24"/>
              </w:rPr>
            </w:r>
            <w:r/>
          </w:p>
        </w:tc>
        <w:tc>
          <w:tcPr>
            <w:tcW w:w="3996" w:type="dxa"/>
            <w:vAlign w:val="center"/>
            <w:textDirection w:val="lrTb"/>
            <w:noWrap w:val="false"/>
          </w:tcPr>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安全保障至少应包括信息系统数据安全，网络安全，保密措施，供应商应编 写安全保障方案，评委根据方案的合理性和可行性进行评分： </w:t>
            </w:r>
            <w:r>
              <w:rPr>
                <w:rFonts w:hint="eastAsia" w:ascii="宋体" w:hAnsi="宋体" w:eastAsia="宋体" w:cs="宋体"/>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（1）方案描述全面、合理，具备良好的可行性，完全满足安全性保障要求，得7分； </w:t>
            </w:r>
            <w:r>
              <w:rPr>
                <w:rFonts w:hint="eastAsia" w:ascii="宋体" w:hAnsi="宋体" w:eastAsia="宋体" w:cs="宋体"/>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（2）方案基本合理、可行，基本满足安全性保障要求，得4 分； </w:t>
            </w:r>
            <w:r>
              <w:rPr>
                <w:rFonts w:hint="eastAsia" w:ascii="宋体" w:hAnsi="宋体" w:eastAsia="宋体" w:cs="宋体"/>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（3）对安全性保障理解不到位，难以满足安全性保障要求，得 1 分； </w:t>
            </w:r>
            <w:r>
              <w:rPr>
                <w:rFonts w:hint="eastAsia" w:ascii="宋体" w:hAnsi="宋体" w:eastAsia="宋体" w:cs="宋体"/>
                <w:sz w:val="24"/>
                <w:szCs w:val="24"/>
              </w:rPr>
            </w:r>
            <w:r/>
          </w:p>
          <w:p>
            <w:pPr>
              <w:pStyle w:val="127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（4）未提供则本项不得分。</w:t>
            </w:r>
            <w:r>
              <w:rPr>
                <w:rFonts w:hint="eastAsia" w:ascii="宋体" w:hAnsi="宋体" w:eastAsia="宋体" w:cs="宋体"/>
                <w:sz w:val="24"/>
                <w:szCs w:val="24"/>
              </w:rPr>
            </w:r>
            <w:r/>
          </w:p>
        </w:tc>
        <w:tc>
          <w:tcPr>
            <w:tcW w:w="291"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r>
      <w:tr>
        <w:trPr/>
        <w:tc>
          <w:tcPr>
            <w:tcW w:w="231"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480"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color w:val="000000"/>
                <w:sz w:val="24"/>
                <w:szCs w:val="24"/>
              </w:rPr>
              <w:t xml:space="preserve">响应时间（2 分）</w:t>
            </w:r>
            <w:r>
              <w:rPr>
                <w:rFonts w:hint="eastAsia" w:ascii="宋体" w:hAnsi="宋体" w:eastAsia="宋体" w:cs="宋体"/>
                <w:sz w:val="24"/>
                <w:szCs w:val="24"/>
              </w:rPr>
            </w:r>
            <w:r/>
          </w:p>
        </w:tc>
        <w:tc>
          <w:tcPr>
            <w:tcW w:w="3996" w:type="dxa"/>
            <w:vAlign w:val="center"/>
            <w:textDirection w:val="lrTb"/>
            <w:noWrap w:val="false"/>
          </w:tcPr>
          <w:p>
            <w:pPr>
              <w:pStyle w:val="1270"/>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供应商需提供以下承诺：（须提供承诺书原件扫描件） 发现系统故障后，能在一定时间内到达现场并解决： </w:t>
            </w:r>
            <w:r>
              <w:rPr>
                <w:rFonts w:hint="eastAsia" w:ascii="宋体" w:hAnsi="宋体" w:eastAsia="宋体" w:cs="宋体"/>
                <w:color w:val="000000"/>
                <w:sz w:val="24"/>
                <w:szCs w:val="24"/>
              </w:rPr>
            </w:r>
            <w:r/>
          </w:p>
          <w:p>
            <w:pPr>
              <w:pStyle w:val="1270"/>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（1）一般故障能在30分钟内响应及解决；如需到达现场，1小时内到达并 解决得2分； </w:t>
            </w:r>
            <w:r>
              <w:rPr>
                <w:rFonts w:hint="eastAsia" w:ascii="宋体" w:hAnsi="宋体" w:eastAsia="宋体" w:cs="宋体"/>
                <w:color w:val="000000"/>
                <w:sz w:val="24"/>
                <w:szCs w:val="24"/>
              </w:rPr>
            </w:r>
            <w:r/>
          </w:p>
          <w:p>
            <w:pPr>
              <w:pStyle w:val="1270"/>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（2）一般故障能在1小时内响应及解决，如需到达现场，3小时内到达并 解决得1分； </w:t>
            </w:r>
            <w:r>
              <w:rPr>
                <w:rFonts w:hint="eastAsia" w:ascii="宋体" w:hAnsi="宋体" w:eastAsia="宋体" w:cs="宋体"/>
                <w:color w:val="000000"/>
                <w:sz w:val="24"/>
                <w:szCs w:val="24"/>
              </w:rPr>
            </w:r>
            <w:r/>
          </w:p>
          <w:p>
            <w:pPr>
              <w:pStyle w:val="127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（3）无法到达现场并解决，不得分。</w:t>
            </w:r>
            <w:r>
              <w:rPr>
                <w:rFonts w:hint="eastAsia" w:ascii="宋体" w:hAnsi="宋体" w:eastAsia="宋体" w:cs="宋体"/>
                <w:sz w:val="24"/>
                <w:szCs w:val="24"/>
              </w:rPr>
            </w:r>
            <w:r/>
          </w:p>
        </w:tc>
        <w:tc>
          <w:tcPr>
            <w:tcW w:w="291" w:type="dxa"/>
            <w:vAlign w:val="center"/>
            <w:textDirection w:val="lrTb"/>
            <w:noWrap w:val="false"/>
          </w:tcPr>
          <w:p>
            <w:pPr>
              <w:pStyle w:val="127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r>
    </w:tbl>
    <w:p>
      <w:pPr>
        <w:pStyle w:val="1275"/>
        <w:tabs>
          <w:tab w:val="left" w:pos="567" w:leader="none"/>
        </w:tabs>
        <w:rPr>
          <w:rFonts w:hint="eastAsia"/>
        </w:rPr>
      </w:pPr>
      <w:r>
        <w:rPr>
          <w:rFonts w:hint="eastAsia"/>
        </w:rPr>
      </w:r>
      <w:r/>
    </w:p>
    <w:p>
      <w:pPr>
        <w:pStyle w:val="1270"/>
        <w:rPr>
          <w:rFonts w:hint="eastAsia"/>
        </w:rPr>
      </w:pPr>
      <w:r>
        <w:rPr>
          <w:rFonts w:hint="eastAsia"/>
        </w:rPr>
      </w:r>
      <w:r/>
    </w:p>
    <w:p>
      <w:pPr>
        <w:pStyle w:val="1275"/>
        <w:tabs>
          <w:tab w:val="left" w:pos="567" w:leader="none"/>
        </w:tabs>
        <w:rPr>
          <w:rFonts w:hint="eastAsia"/>
        </w:rPr>
      </w:pPr>
      <w:r>
        <w:rPr>
          <w:rFonts w:hint="eastAsia"/>
        </w:rPr>
      </w:r>
      <w:r/>
    </w:p>
    <w:p>
      <w:pPr>
        <w:pStyle w:val="1270"/>
        <w:jc w:val="center"/>
        <w:spacing w:line="440" w:lineRule="exact"/>
        <w:rPr>
          <w:rFonts w:hint="eastAsia" w:ascii="宋体" w:hAnsi="宋体" w:cs="宋体"/>
          <w:b/>
          <w:sz w:val="36"/>
          <w:szCs w:val="36"/>
        </w:rPr>
        <w:outlineLvl w:val="0"/>
      </w:pPr>
      <w:r>
        <w:rPr>
          <w:rFonts w:hint="eastAsia" w:ascii="宋体" w:hAnsi="宋体" w:cs="宋体"/>
          <w:b/>
          <w:sz w:val="36"/>
          <w:szCs w:val="36"/>
        </w:rPr>
        <w:t xml:space="preserve">第四章  采购需求</w:t>
      </w:r>
      <w:bookmarkEnd w:id="673"/>
      <w:r>
        <w:rPr>
          <w:rFonts w:hint="eastAsia" w:ascii="宋体" w:hAnsi="宋体" w:cs="宋体"/>
          <w:b/>
          <w:sz w:val="36"/>
          <w:szCs w:val="36"/>
        </w:rPr>
      </w:r>
      <w:r/>
    </w:p>
    <w:p>
      <w:pPr>
        <w:pStyle w:val="1557"/>
        <w:numPr>
          <w:ilvl w:val="0"/>
          <w:numId w:val="12"/>
        </w:numPr>
        <w:contextualSpacing/>
        <w:spacing w:line="440" w:lineRule="exact"/>
        <w:rPr>
          <w:rFonts w:hint="eastAsia" w:ascii="宋体" w:hAnsi="宋体" w:cs="宋体"/>
          <w:bCs/>
          <w:sz w:val="24"/>
          <w:szCs w:val="24"/>
        </w:rPr>
      </w:pPr>
      <w:r>
        <w:rPr>
          <w:rFonts w:hint="eastAsia" w:ascii="宋体" w:hAnsi="宋体" w:cs="宋体"/>
          <w:b/>
          <w:sz w:val="24"/>
          <w:szCs w:val="24"/>
        </w:rPr>
        <w:t xml:space="preserve">采购标的</w:t>
      </w:r>
      <w:r>
        <w:rPr>
          <w:rFonts w:hint="eastAsia" w:ascii="宋体" w:hAnsi="宋体" w:cs="宋体"/>
          <w:bCs/>
          <w:sz w:val="24"/>
          <w:szCs w:val="24"/>
        </w:rPr>
      </w:r>
      <w:r/>
    </w:p>
    <w:p>
      <w:pPr>
        <w:pStyle w:val="1270"/>
        <w:contextualSpacing/>
        <w:spacing w:line="440" w:lineRule="exact"/>
        <w:rPr>
          <w:rFonts w:hint="eastAsia" w:ascii="宋体" w:hAnsi="宋体" w:cs="宋体"/>
          <w:bCs/>
          <w:sz w:val="24"/>
        </w:rPr>
      </w:pPr>
      <w:r>
        <w:rPr>
          <w:rFonts w:hint="eastAsia" w:ascii="宋体" w:hAnsi="宋体" w:cs="宋体"/>
          <w:bCs/>
          <w:sz w:val="24"/>
        </w:rPr>
        <w:t xml:space="preserve">1. 采购标的（货物需求一览表或简要服务内容及数量）</w:t>
      </w:r>
      <w:r>
        <w:rPr>
          <w:rFonts w:hint="eastAsia" w:ascii="宋体" w:hAnsi="宋体" w:cs="宋体"/>
          <w:bCs/>
          <w:sz w:val="24"/>
        </w:rPr>
      </w:r>
      <w:r/>
    </w:p>
    <w:p>
      <w:pPr>
        <w:pStyle w:val="1270"/>
        <w:contextualSpacing/>
        <w:ind w:firstLine="482"/>
        <w:spacing w:line="440" w:lineRule="exact"/>
        <w:rPr>
          <w:rFonts w:hint="eastAsia" w:ascii="宋体" w:hAnsi="宋体" w:cs="宋体"/>
          <w:color w:val="000000"/>
          <w:sz w:val="24"/>
        </w:rPr>
      </w:pPr>
      <w:r>
        <w:rPr>
          <w:rFonts w:hint="eastAsia" w:ascii="宋体" w:hAnsi="宋体" w:cs="宋体"/>
          <w:color w:val="000000"/>
          <w:sz w:val="24"/>
        </w:rPr>
        <w:t xml:space="preserve">本项目为溧阳市自动监测监控系统运行维护项目，主要包括自动站点运行维护、水站运维质控检查、监控平台运维等。运维技术要求依据《江苏省水质自动站运行管理办法》、《国家地表水水质自动监测站运行管理办法》，实时监控水质、环境空气质量，及时发布预警，服务环境管理。 </w:t>
      </w:r>
      <w:r>
        <w:rPr>
          <w:rFonts w:hint="eastAsia" w:ascii="宋体" w:hAnsi="宋体" w:cs="宋体"/>
          <w:color w:val="000000"/>
          <w:sz w:val="24"/>
        </w:rPr>
      </w:r>
      <w:r/>
    </w:p>
    <w:p>
      <w:pPr>
        <w:pStyle w:val="1557"/>
        <w:numPr>
          <w:ilvl w:val="0"/>
          <w:numId w:val="12"/>
        </w:numPr>
        <w:contextualSpacing/>
        <w:spacing w:line="440" w:lineRule="exact"/>
        <w:rPr>
          <w:rFonts w:hint="eastAsia" w:ascii="宋体" w:hAnsi="宋体" w:cs="宋体"/>
          <w:b/>
          <w:sz w:val="24"/>
          <w:szCs w:val="24"/>
        </w:rPr>
      </w:pPr>
      <w:r>
        <w:rPr>
          <w:rFonts w:hint="eastAsia" w:ascii="宋体" w:hAnsi="宋体" w:cs="宋体"/>
          <w:b/>
          <w:sz w:val="24"/>
          <w:szCs w:val="24"/>
        </w:rPr>
        <w:t xml:space="preserve">商务要求</w:t>
      </w:r>
      <w:r>
        <w:rPr>
          <w:rFonts w:hint="eastAsia" w:ascii="宋体" w:hAnsi="宋体" w:cs="宋体"/>
          <w:b/>
          <w:sz w:val="24"/>
          <w:szCs w:val="24"/>
        </w:rPr>
      </w:r>
      <w:r/>
    </w:p>
    <w:p>
      <w:pPr>
        <w:pStyle w:val="1491"/>
        <w:spacing w:before="0" w:line="440" w:lineRule="exact"/>
        <w:tabs>
          <w:tab w:val="left" w:pos="567" w:leader="none"/>
        </w:tabs>
        <w:rPr>
          <w:rFonts w:hint="eastAsia" w:cs="宋体"/>
          <w:color w:val="000000"/>
        </w:rPr>
      </w:pPr>
      <w:r>
        <w:rPr>
          <w:rFonts w:hint="eastAsia" w:cs="宋体"/>
          <w:color w:val="000000"/>
        </w:rPr>
        <w:t xml:space="preserve">1. 交付（实施）的时间（期限）和地点（范围）：自合同签订之日</w:t>
      </w:r>
      <w:r>
        <w:rPr>
          <w:rFonts w:hint="eastAsia" w:cs="宋体"/>
          <w:color w:val="000000"/>
          <w:lang w:eastAsia="zh-CN"/>
        </w:rPr>
        <w:t xml:space="preserve">至2026年12月31日</w:t>
      </w:r>
      <w:r>
        <w:rPr>
          <w:rFonts w:hint="eastAsia" w:cs="宋体"/>
          <w:color w:val="000000"/>
        </w:rPr>
        <w:t xml:space="preserve">；溧阳市。</w:t>
      </w:r>
      <w:r>
        <w:rPr>
          <w:rFonts w:hint="eastAsia" w:cs="宋体"/>
          <w:color w:val="000000"/>
        </w:rPr>
      </w:r>
      <w:r/>
    </w:p>
    <w:p>
      <w:pPr>
        <w:pStyle w:val="1491"/>
        <w:spacing w:before="0" w:line="440" w:lineRule="exact"/>
        <w:tabs>
          <w:tab w:val="left" w:pos="567" w:leader="none"/>
        </w:tabs>
        <w:rPr>
          <w:rFonts w:hint="eastAsia" w:cs="宋体"/>
          <w:color w:val="000000"/>
        </w:rPr>
      </w:pPr>
      <w:r>
        <w:rPr>
          <w:rFonts w:hint="eastAsia" w:cs="宋体"/>
          <w:color w:val="000000"/>
        </w:rPr>
        <w:t xml:space="preserve">2. 付款条件（进度和方式）：合同签订后,待一个运维周期结束根据考核结果付清当年度合同款项（合同价款总额根据当年考核结果进行相应扣减），经甲方考核评分后支付具体款项。</w:t>
      </w:r>
      <w:r>
        <w:rPr>
          <w:rFonts w:hint="eastAsia" w:cs="宋体"/>
          <w:color w:val="000000"/>
        </w:rPr>
      </w:r>
      <w:r/>
    </w:p>
    <w:p>
      <w:pPr>
        <w:pStyle w:val="1557"/>
        <w:numPr>
          <w:ilvl w:val="0"/>
          <w:numId w:val="12"/>
        </w:numPr>
        <w:contextualSpacing/>
        <w:spacing w:line="440" w:lineRule="exact"/>
        <w:rPr>
          <w:rFonts w:hint="eastAsia" w:ascii="宋体" w:hAnsi="宋体" w:cs="宋体"/>
          <w:b/>
          <w:color w:val="000000"/>
          <w:sz w:val="24"/>
          <w:szCs w:val="24"/>
        </w:rPr>
      </w:pPr>
      <w:r>
        <w:rPr>
          <w:rFonts w:hint="eastAsia" w:ascii="宋体" w:hAnsi="宋体" w:cs="宋体"/>
          <w:b/>
          <w:color w:val="000000"/>
          <w:sz w:val="24"/>
          <w:szCs w:val="24"/>
        </w:rPr>
        <w:t xml:space="preserve">采购要求</w:t>
      </w:r>
      <w:r>
        <w:rPr>
          <w:rFonts w:hint="eastAsia" w:ascii="宋体" w:hAnsi="宋体" w:cs="宋体"/>
          <w:b/>
          <w:color w:val="000000"/>
          <w:sz w:val="24"/>
          <w:szCs w:val="24"/>
        </w:rPr>
      </w:r>
      <w:r/>
    </w:p>
    <w:p>
      <w:pPr>
        <w:pStyle w:val="1270"/>
        <w:spacing w:line="440" w:lineRule="exact"/>
        <w:rPr>
          <w:rFonts w:hint="eastAsia" w:ascii="宋体" w:hAnsi="宋体"/>
          <w:b/>
          <w:bCs/>
          <w:sz w:val="24"/>
        </w:rPr>
      </w:pPr>
      <w:r>
        <w:rPr>
          <w:rFonts w:hint="eastAsia" w:ascii="宋体" w:hAnsi="宋体"/>
          <w:b/>
          <w:bCs/>
          <w:sz w:val="24"/>
        </w:rPr>
        <w:t xml:space="preserve">采购包1、水质自动监测站运维</w:t>
      </w:r>
      <w:r>
        <w:rPr>
          <w:rFonts w:hint="eastAsia" w:ascii="宋体" w:hAnsi="宋体"/>
          <w:b/>
          <w:bCs/>
          <w:sz w:val="24"/>
        </w:rPr>
      </w:r>
      <w:r/>
    </w:p>
    <w:p>
      <w:pPr>
        <w:pStyle w:val="1270"/>
        <w:ind w:firstLine="361"/>
        <w:spacing w:line="440" w:lineRule="exact"/>
        <w:rPr>
          <w:rFonts w:ascii="宋体" w:hAnsi="宋体"/>
          <w:b/>
          <w:bCs/>
          <w:sz w:val="24"/>
        </w:rPr>
      </w:pPr>
      <w:r>
        <w:rPr>
          <w:rFonts w:hint="eastAsia" w:ascii="宋体" w:hAnsi="宋体"/>
          <w:b/>
          <w:bCs/>
          <w:sz w:val="24"/>
        </w:rPr>
        <w:t xml:space="preserve">1、水质自动监测站项目</w:t>
      </w:r>
      <w:r>
        <w:rPr>
          <w:rFonts w:ascii="宋体" w:hAnsi="宋体"/>
          <w:b/>
          <w:bCs/>
          <w:sz w:val="24"/>
        </w:rPr>
        <w:t xml:space="preserve">清单</w:t>
      </w:r>
      <w:r>
        <w:rPr>
          <w:rFonts w:ascii="宋体" w:hAnsi="宋体"/>
          <w:b/>
          <w:bCs/>
          <w:sz w:val="24"/>
        </w:rPr>
      </w:r>
      <w:r/>
    </w:p>
    <w:tbl>
      <w:tblPr>
        <w:tblW w:w="499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470"/>
        <w:gridCol w:w="1276"/>
        <w:gridCol w:w="4911"/>
        <w:gridCol w:w="1220"/>
      </w:tblGrid>
      <w:tr>
        <w:trPr/>
        <w:tc>
          <w:tcPr>
            <w:tcW w:w="39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76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河流名称</w:t>
            </w:r>
            <w:r>
              <w:rPr>
                <w:rFonts w:hint="eastAsia" w:ascii="宋体" w:hAnsi="宋体" w:cs="宋体"/>
                <w:sz w:val="24"/>
              </w:rPr>
            </w:r>
            <w:r/>
          </w:p>
        </w:tc>
        <w:tc>
          <w:tcPr>
            <w:tcW w:w="662"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站点名称</w:t>
            </w:r>
            <w:r>
              <w:rPr>
                <w:rFonts w:hint="eastAsia" w:ascii="宋体" w:hAnsi="宋体" w:cs="宋体"/>
                <w:sz w:val="24"/>
              </w:rPr>
            </w:r>
            <w:r/>
          </w:p>
        </w:tc>
        <w:tc>
          <w:tcPr>
            <w:tcW w:w="2549"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监测指标</w:t>
            </w:r>
            <w:r>
              <w:rPr>
                <w:rFonts w:hint="eastAsia" w:ascii="宋体" w:hAnsi="宋体" w:cs="宋体"/>
                <w:sz w:val="24"/>
              </w:rPr>
            </w:r>
            <w:r/>
          </w:p>
        </w:tc>
        <w:tc>
          <w:tcPr>
            <w:tcW w:w="63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建设时间</w:t>
            </w:r>
            <w:r>
              <w:rPr>
                <w:rFonts w:hint="eastAsia" w:ascii="宋体" w:hAnsi="宋体" w:cs="宋体"/>
                <w:sz w:val="24"/>
              </w:rPr>
            </w:r>
            <w:r/>
          </w:p>
        </w:tc>
      </w:tr>
      <w:tr>
        <w:trPr/>
        <w:tc>
          <w:tcPr>
            <w:tcW w:w="39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76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丹金溧漕河</w:t>
            </w:r>
            <w:r>
              <w:rPr>
                <w:rFonts w:hint="eastAsia" w:ascii="宋体" w:hAnsi="宋体" w:cs="宋体"/>
                <w:sz w:val="24"/>
              </w:rPr>
            </w:r>
            <w:r/>
          </w:p>
        </w:tc>
        <w:tc>
          <w:tcPr>
            <w:tcW w:w="662"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新基桥</w:t>
            </w:r>
            <w:r>
              <w:rPr>
                <w:rFonts w:hint="eastAsia" w:ascii="宋体" w:hAnsi="宋体" w:cs="宋体"/>
                <w:sz w:val="24"/>
              </w:rPr>
            </w:r>
            <w:r/>
          </w:p>
        </w:tc>
        <w:tc>
          <w:tcPr>
            <w:tcW w:w="2549"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水质五参数、氨氮、总磷、高锰酸盐指数</w:t>
            </w:r>
            <w:r>
              <w:rPr>
                <w:rFonts w:hint="eastAsia" w:ascii="宋体" w:hAnsi="宋体" w:cs="宋体"/>
                <w:sz w:val="24"/>
              </w:rPr>
            </w:r>
            <w:r/>
          </w:p>
        </w:tc>
        <w:tc>
          <w:tcPr>
            <w:tcW w:w="63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2018.11</w:t>
            </w:r>
            <w:r>
              <w:rPr>
                <w:rFonts w:hint="eastAsia" w:ascii="宋体" w:hAnsi="宋体" w:cs="宋体"/>
                <w:sz w:val="24"/>
              </w:rPr>
            </w:r>
            <w:r/>
          </w:p>
        </w:tc>
      </w:tr>
      <w:tr>
        <w:trPr/>
        <w:tc>
          <w:tcPr>
            <w:tcW w:w="39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76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南河</w:t>
            </w:r>
            <w:r>
              <w:rPr>
                <w:rFonts w:hint="eastAsia" w:ascii="宋体" w:hAnsi="宋体" w:cs="宋体"/>
                <w:sz w:val="24"/>
              </w:rPr>
            </w:r>
            <w:r/>
          </w:p>
        </w:tc>
        <w:tc>
          <w:tcPr>
            <w:tcW w:w="662"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蒋店桥</w:t>
            </w:r>
            <w:r>
              <w:rPr>
                <w:rFonts w:hint="eastAsia" w:ascii="宋体" w:hAnsi="宋体" w:cs="宋体"/>
                <w:sz w:val="24"/>
              </w:rPr>
            </w:r>
            <w:r/>
          </w:p>
        </w:tc>
        <w:tc>
          <w:tcPr>
            <w:tcW w:w="2549"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水质五参数、氨氮、总磷、高锰酸盐指数</w:t>
            </w:r>
            <w:r>
              <w:rPr>
                <w:rFonts w:hint="eastAsia" w:ascii="宋体" w:hAnsi="宋体" w:cs="宋体"/>
                <w:sz w:val="24"/>
              </w:rPr>
            </w:r>
            <w:r/>
          </w:p>
        </w:tc>
        <w:tc>
          <w:tcPr>
            <w:tcW w:w="63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2018.11</w:t>
            </w:r>
            <w:r>
              <w:rPr>
                <w:rFonts w:hint="eastAsia" w:ascii="宋体" w:hAnsi="宋体" w:cs="宋体"/>
                <w:sz w:val="24"/>
              </w:rPr>
            </w:r>
            <w:r/>
          </w:p>
        </w:tc>
      </w:tr>
      <w:tr>
        <w:trPr/>
        <w:tc>
          <w:tcPr>
            <w:tcW w:w="39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76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芜太运河</w:t>
            </w:r>
            <w:r>
              <w:rPr>
                <w:rFonts w:hint="eastAsia" w:ascii="宋体" w:hAnsi="宋体" w:cs="宋体"/>
                <w:sz w:val="24"/>
              </w:rPr>
            </w:r>
            <w:r/>
          </w:p>
        </w:tc>
        <w:tc>
          <w:tcPr>
            <w:tcW w:w="662"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回龙桥</w:t>
            </w:r>
            <w:r>
              <w:rPr>
                <w:rFonts w:hint="eastAsia" w:ascii="宋体" w:hAnsi="宋体" w:cs="宋体"/>
                <w:sz w:val="24"/>
              </w:rPr>
            </w:r>
            <w:r/>
          </w:p>
        </w:tc>
        <w:tc>
          <w:tcPr>
            <w:tcW w:w="2549"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水质五参数、氨氮、总磷、高锰酸盐指数</w:t>
            </w:r>
            <w:r>
              <w:rPr>
                <w:rFonts w:hint="eastAsia" w:ascii="宋体" w:hAnsi="宋体" w:cs="宋体"/>
                <w:sz w:val="24"/>
              </w:rPr>
            </w:r>
            <w:r/>
          </w:p>
        </w:tc>
        <w:tc>
          <w:tcPr>
            <w:tcW w:w="63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2018.11</w:t>
            </w:r>
            <w:r>
              <w:rPr>
                <w:rFonts w:hint="eastAsia" w:ascii="宋体" w:hAnsi="宋体" w:cs="宋体"/>
                <w:sz w:val="24"/>
              </w:rPr>
            </w:r>
            <w:r/>
          </w:p>
        </w:tc>
      </w:tr>
      <w:tr>
        <w:trPr/>
        <w:tc>
          <w:tcPr>
            <w:tcW w:w="39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76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城中河</w:t>
            </w:r>
            <w:r>
              <w:rPr>
                <w:rFonts w:hint="eastAsia" w:ascii="宋体" w:hAnsi="宋体" w:cs="宋体"/>
                <w:sz w:val="24"/>
              </w:rPr>
            </w:r>
            <w:r/>
          </w:p>
        </w:tc>
        <w:tc>
          <w:tcPr>
            <w:tcW w:w="662"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歌岐桥</w:t>
            </w:r>
            <w:r>
              <w:rPr>
                <w:rFonts w:hint="eastAsia" w:ascii="宋体" w:hAnsi="宋体" w:cs="宋体"/>
                <w:sz w:val="24"/>
              </w:rPr>
            </w:r>
            <w:r/>
          </w:p>
        </w:tc>
        <w:tc>
          <w:tcPr>
            <w:tcW w:w="2549"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水质五参数、氨氮、总磷、高锰酸盐指数</w:t>
            </w:r>
            <w:r>
              <w:rPr>
                <w:rFonts w:hint="eastAsia" w:ascii="宋体" w:hAnsi="宋体" w:cs="宋体"/>
                <w:sz w:val="24"/>
              </w:rPr>
            </w:r>
            <w:r/>
          </w:p>
        </w:tc>
        <w:tc>
          <w:tcPr>
            <w:tcW w:w="63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2018.11</w:t>
            </w:r>
            <w:r>
              <w:rPr>
                <w:rFonts w:hint="eastAsia" w:ascii="宋体" w:hAnsi="宋体" w:cs="宋体"/>
                <w:sz w:val="24"/>
              </w:rPr>
            </w:r>
            <w:r/>
          </w:p>
        </w:tc>
      </w:tr>
      <w:tr>
        <w:trPr/>
        <w:tc>
          <w:tcPr>
            <w:tcW w:w="39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76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溧戴河</w:t>
            </w:r>
            <w:r>
              <w:rPr>
                <w:rFonts w:hint="eastAsia" w:ascii="宋体" w:hAnsi="宋体" w:cs="宋体"/>
                <w:sz w:val="24"/>
              </w:rPr>
            </w:r>
            <w:r/>
          </w:p>
        </w:tc>
        <w:tc>
          <w:tcPr>
            <w:tcW w:w="662"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长木桥</w:t>
            </w:r>
            <w:r>
              <w:rPr>
                <w:rFonts w:hint="eastAsia" w:ascii="宋体" w:hAnsi="宋体" w:cs="宋体"/>
                <w:sz w:val="24"/>
              </w:rPr>
            </w:r>
            <w:r/>
          </w:p>
        </w:tc>
        <w:tc>
          <w:tcPr>
            <w:tcW w:w="2549"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水质五参数、氨氮、总磷、高锰酸盐指数、总氮</w:t>
            </w:r>
            <w:r>
              <w:rPr>
                <w:rFonts w:hint="eastAsia" w:ascii="宋体" w:hAnsi="宋体" w:cs="宋体"/>
                <w:sz w:val="24"/>
              </w:rPr>
            </w:r>
            <w:r/>
          </w:p>
        </w:tc>
        <w:tc>
          <w:tcPr>
            <w:tcW w:w="63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2021.10</w:t>
            </w:r>
            <w:r>
              <w:rPr>
                <w:rFonts w:hint="eastAsia" w:ascii="宋体" w:hAnsi="宋体" w:cs="宋体"/>
                <w:sz w:val="24"/>
              </w:rPr>
            </w:r>
            <w:r/>
          </w:p>
        </w:tc>
      </w:tr>
      <w:tr>
        <w:trPr/>
        <w:tc>
          <w:tcPr>
            <w:tcW w:w="39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76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北河</w:t>
            </w:r>
            <w:r>
              <w:rPr>
                <w:rFonts w:hint="eastAsia" w:ascii="宋体" w:hAnsi="宋体" w:cs="宋体"/>
                <w:sz w:val="24"/>
              </w:rPr>
            </w:r>
            <w:r/>
          </w:p>
        </w:tc>
        <w:tc>
          <w:tcPr>
            <w:tcW w:w="662"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爱国桥</w:t>
            </w:r>
            <w:r>
              <w:rPr>
                <w:rFonts w:hint="eastAsia" w:ascii="宋体" w:hAnsi="宋体" w:cs="宋体"/>
                <w:sz w:val="24"/>
              </w:rPr>
            </w:r>
            <w:r/>
          </w:p>
        </w:tc>
        <w:tc>
          <w:tcPr>
            <w:tcW w:w="2549"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水质五参数、氨氮、总磷、高锰酸盐指数、总氮</w:t>
            </w:r>
            <w:r>
              <w:rPr>
                <w:rFonts w:hint="eastAsia" w:ascii="宋体" w:hAnsi="宋体" w:cs="宋体"/>
                <w:sz w:val="24"/>
              </w:rPr>
            </w:r>
            <w:r/>
          </w:p>
        </w:tc>
        <w:tc>
          <w:tcPr>
            <w:tcW w:w="63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2021.10</w:t>
            </w:r>
            <w:r>
              <w:rPr>
                <w:rFonts w:hint="eastAsia" w:ascii="宋体" w:hAnsi="宋体" w:cs="宋体"/>
                <w:sz w:val="24"/>
              </w:rPr>
            </w:r>
            <w:r/>
          </w:p>
        </w:tc>
      </w:tr>
      <w:tr>
        <w:trPr/>
        <w:tc>
          <w:tcPr>
            <w:tcW w:w="39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W w:w="76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竹箦河</w:t>
            </w:r>
            <w:r>
              <w:rPr>
                <w:rFonts w:hint="eastAsia" w:ascii="宋体" w:hAnsi="宋体" w:cs="宋体"/>
                <w:sz w:val="24"/>
              </w:rPr>
            </w:r>
            <w:r/>
          </w:p>
        </w:tc>
        <w:tc>
          <w:tcPr>
            <w:tcW w:w="662"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泓口桥</w:t>
            </w:r>
            <w:r>
              <w:rPr>
                <w:rFonts w:hint="eastAsia" w:ascii="宋体" w:hAnsi="宋体" w:cs="宋体"/>
                <w:sz w:val="24"/>
              </w:rPr>
            </w:r>
            <w:r/>
          </w:p>
        </w:tc>
        <w:tc>
          <w:tcPr>
            <w:tcW w:w="2549"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水质五参数、氨氮、总磷、高锰酸盐指数、总氮</w:t>
            </w:r>
            <w:r>
              <w:rPr>
                <w:rFonts w:hint="eastAsia" w:ascii="宋体" w:hAnsi="宋体" w:cs="宋体"/>
                <w:sz w:val="24"/>
              </w:rPr>
            </w:r>
            <w:r/>
          </w:p>
        </w:tc>
        <w:tc>
          <w:tcPr>
            <w:tcW w:w="63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2021.10</w:t>
            </w:r>
            <w:r>
              <w:rPr>
                <w:rFonts w:hint="eastAsia" w:ascii="宋体" w:hAnsi="宋体" w:cs="宋体"/>
                <w:sz w:val="24"/>
              </w:rPr>
            </w:r>
            <w:r/>
          </w:p>
        </w:tc>
      </w:tr>
      <w:tr>
        <w:trPr/>
        <w:tc>
          <w:tcPr>
            <w:tcW w:w="39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W w:w="76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大溪水库</w:t>
            </w:r>
            <w:r>
              <w:rPr>
                <w:rFonts w:hint="eastAsia" w:ascii="宋体" w:hAnsi="宋体" w:cs="宋体"/>
                <w:sz w:val="24"/>
              </w:rPr>
            </w:r>
            <w:r/>
          </w:p>
        </w:tc>
        <w:tc>
          <w:tcPr>
            <w:tcW w:w="662"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大溪水库</w:t>
            </w:r>
            <w:r>
              <w:rPr>
                <w:rFonts w:hint="eastAsia" w:ascii="宋体" w:hAnsi="宋体" w:cs="宋体"/>
                <w:sz w:val="24"/>
              </w:rPr>
            </w:r>
            <w:r/>
          </w:p>
        </w:tc>
        <w:tc>
          <w:tcPr>
            <w:tcW w:w="2549"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挥发酚、挥发性有机物</w:t>
            </w:r>
            <w:r>
              <w:rPr>
                <w:rFonts w:hint="eastAsia" w:ascii="宋体" w:hAnsi="宋体" w:cs="宋体"/>
                <w:sz w:val="24"/>
              </w:rPr>
            </w:r>
            <w:r/>
          </w:p>
        </w:tc>
        <w:tc>
          <w:tcPr>
            <w:tcW w:w="63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2021.10</w:t>
            </w:r>
            <w:r>
              <w:rPr>
                <w:rFonts w:hint="eastAsia" w:ascii="宋体" w:hAnsi="宋体" w:cs="宋体"/>
                <w:sz w:val="24"/>
              </w:rPr>
            </w:r>
            <w:r/>
          </w:p>
        </w:tc>
      </w:tr>
      <w:tr>
        <w:trPr/>
        <w:tc>
          <w:tcPr>
            <w:tcW w:w="39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W w:w="76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沙河水库</w:t>
            </w:r>
            <w:r>
              <w:rPr>
                <w:rFonts w:hint="eastAsia" w:ascii="宋体" w:hAnsi="宋体" w:cs="宋体"/>
                <w:sz w:val="24"/>
              </w:rPr>
            </w:r>
            <w:r/>
          </w:p>
        </w:tc>
        <w:tc>
          <w:tcPr>
            <w:tcW w:w="662"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沙河水库</w:t>
            </w:r>
            <w:r>
              <w:rPr>
                <w:rFonts w:hint="eastAsia" w:ascii="宋体" w:hAnsi="宋体" w:cs="宋体"/>
                <w:sz w:val="24"/>
              </w:rPr>
            </w:r>
            <w:r/>
          </w:p>
        </w:tc>
        <w:tc>
          <w:tcPr>
            <w:tcW w:w="2549"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挥发酚、挥发性有机物</w:t>
            </w:r>
            <w:r>
              <w:rPr>
                <w:rFonts w:hint="eastAsia" w:ascii="宋体" w:hAnsi="宋体" w:cs="宋体"/>
                <w:sz w:val="24"/>
              </w:rPr>
            </w:r>
            <w:r/>
          </w:p>
        </w:tc>
        <w:tc>
          <w:tcPr>
            <w:tcW w:w="63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2021.10</w:t>
            </w:r>
            <w:r>
              <w:rPr>
                <w:rFonts w:hint="eastAsia" w:ascii="宋体" w:hAnsi="宋体" w:cs="宋体"/>
                <w:sz w:val="24"/>
              </w:rPr>
            </w:r>
            <w:r/>
          </w:p>
        </w:tc>
      </w:tr>
      <w:tr>
        <w:trPr/>
        <w:tc>
          <w:tcPr>
            <w:tcW w:w="393" w:type="dxa"/>
            <w:vAlign w:val="center"/>
            <w:textDirection w:val="lrTb"/>
            <w:noWrap w:val="false"/>
          </w:tcPr>
          <w:p>
            <w:pPr>
              <w:pStyle w:val="1270"/>
              <w:jc w:val="center"/>
              <w:spacing w:line="440" w:lineRule="exact"/>
              <w:rPr>
                <w:rFonts w:ascii="宋体" w:hAnsi="宋体" w:cs="宋体"/>
                <w:sz w:val="24"/>
              </w:rPr>
            </w:pPr>
            <w:r>
              <w:rPr>
                <w:rFonts w:hint="eastAsia" w:ascii="宋体" w:hAnsi="宋体" w:cs="宋体"/>
                <w:sz w:val="24"/>
              </w:rPr>
              <w:t xml:space="preserve">10</w:t>
            </w:r>
            <w:r>
              <w:rPr>
                <w:rFonts w:ascii="宋体" w:hAnsi="宋体" w:cs="宋体"/>
                <w:sz w:val="24"/>
              </w:rPr>
            </w:r>
            <w:r/>
          </w:p>
        </w:tc>
        <w:tc>
          <w:tcPr>
            <w:tcW w:w="763"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中干河</w:t>
            </w:r>
            <w:r>
              <w:rPr>
                <w:rFonts w:hint="eastAsia" w:ascii="宋体" w:hAnsi="宋体" w:cs="宋体"/>
                <w:sz w:val="24"/>
              </w:rPr>
            </w:r>
            <w:r/>
          </w:p>
        </w:tc>
        <w:tc>
          <w:tcPr>
            <w:tcW w:w="662"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山下河桥</w:t>
            </w:r>
            <w:r>
              <w:rPr>
                <w:rFonts w:hint="eastAsia" w:ascii="宋体" w:hAnsi="宋体" w:cs="宋体"/>
                <w:sz w:val="24"/>
              </w:rPr>
            </w:r>
            <w:r/>
          </w:p>
        </w:tc>
        <w:tc>
          <w:tcPr>
            <w:tcW w:w="2549" w:type="dxa"/>
            <w:vAlign w:val="center"/>
            <w:textDirection w:val="lrTb"/>
            <w:noWrap w:val="false"/>
          </w:tcPr>
          <w:p>
            <w:pPr>
              <w:pStyle w:val="1270"/>
              <w:jc w:val="center"/>
              <w:spacing w:line="440" w:lineRule="exact"/>
              <w:rPr>
                <w:rFonts w:hint="eastAsia" w:ascii="宋体" w:hAnsi="宋体" w:cs="宋体"/>
                <w:sz w:val="24"/>
              </w:rPr>
            </w:pPr>
            <w:r>
              <w:rPr>
                <w:rFonts w:hint="eastAsia" w:ascii="宋体" w:hAnsi="宋体" w:cs="宋体"/>
                <w:sz w:val="24"/>
              </w:rPr>
              <w:t xml:space="preserve">水质五参数、氨氮、总磷、高锰酸盐指数、总氮</w:t>
            </w:r>
            <w:r>
              <w:rPr>
                <w:rFonts w:hint="eastAsia" w:ascii="宋体" w:hAnsi="宋体" w:cs="宋体"/>
                <w:sz w:val="24"/>
              </w:rPr>
            </w:r>
            <w:r/>
          </w:p>
        </w:tc>
        <w:tc>
          <w:tcPr>
            <w:tcW w:w="633" w:type="dxa"/>
            <w:vAlign w:val="center"/>
            <w:textDirection w:val="lrTb"/>
            <w:noWrap w:val="false"/>
          </w:tcPr>
          <w:p>
            <w:pPr>
              <w:pStyle w:val="1270"/>
              <w:jc w:val="center"/>
              <w:spacing w:line="440" w:lineRule="exact"/>
              <w:rPr>
                <w:rFonts w:ascii="宋体" w:hAnsi="宋体" w:cs="宋体"/>
                <w:sz w:val="24"/>
              </w:rPr>
            </w:pPr>
            <w:r>
              <w:rPr>
                <w:rFonts w:hint="eastAsia" w:ascii="宋体" w:hAnsi="宋体" w:cs="宋体"/>
                <w:sz w:val="24"/>
              </w:rPr>
              <w:t xml:space="preserve">2023.10</w:t>
            </w:r>
            <w:r>
              <w:rPr>
                <w:rFonts w:ascii="宋体" w:hAnsi="宋体" w:cs="宋体"/>
                <w:sz w:val="24"/>
              </w:rPr>
            </w:r>
            <w:r/>
          </w:p>
        </w:tc>
      </w:tr>
    </w:tbl>
    <w:p>
      <w:pPr>
        <w:pStyle w:val="1270"/>
        <w:ind w:firstLine="361"/>
        <w:spacing w:line="440" w:lineRule="exact"/>
        <w:rPr>
          <w:rFonts w:hint="eastAsia" w:ascii="宋体" w:hAnsi="宋体" w:cs="宋体"/>
          <w:b/>
          <w:bCs/>
          <w:sz w:val="24"/>
        </w:rPr>
      </w:pPr>
      <w:r>
        <w:rPr>
          <w:rFonts w:hint="eastAsia" w:ascii="宋体" w:hAnsi="宋体" w:cs="宋体"/>
          <w:b/>
          <w:bCs/>
          <w:sz w:val="24"/>
        </w:rPr>
        <w:t xml:space="preserve">2、水质自动监测站运行维护工作内容 </w:t>
      </w:r>
      <w:r>
        <w:rPr>
          <w:rFonts w:hint="eastAsia" w:ascii="宋体" w:hAnsi="宋体" w:cs="宋体"/>
          <w:b/>
          <w:bCs/>
          <w:sz w:val="24"/>
        </w:rPr>
      </w:r>
      <w:r/>
    </w:p>
    <w:p>
      <w:pPr>
        <w:pStyle w:val="1270"/>
        <w:ind w:firstLine="360"/>
        <w:spacing w:line="440" w:lineRule="exact"/>
        <w:rPr>
          <w:rFonts w:hint="eastAsia" w:ascii="宋体" w:hAnsi="宋体" w:cs="宋体"/>
          <w:color w:val="000000"/>
          <w:sz w:val="24"/>
        </w:rPr>
      </w:pPr>
      <w:r>
        <w:rPr>
          <w:rFonts w:hint="eastAsia" w:ascii="宋体" w:hAnsi="宋体" w:cs="宋体"/>
          <w:color w:val="000000"/>
          <w:sz w:val="24"/>
        </w:rPr>
        <w:t xml:space="preserve">本次采购的项目内容为溧阳市10个水质自动站全托管运维服务。备品备件、耗材、试剂、标准物质、备用设备、监测仪器和辅助设备的维修、废液处理、水电费、通讯费等由中标人负责（因自然灾害造成的设备损坏，供应商不负责维修费用）。根据工作内容，供应商在报价中应包含（但不限于）下表所列各部分工作的费用：</w:t>
      </w:r>
      <w:r>
        <w:rPr>
          <w:rFonts w:hint="eastAsia" w:ascii="宋体" w:hAnsi="宋体" w:cs="宋体"/>
          <w:color w:val="000000"/>
          <w:sz w:val="24"/>
        </w:rPr>
      </w:r>
      <w:r/>
    </w:p>
    <w:p>
      <w:pPr>
        <w:pStyle w:val="1270"/>
        <w:ind w:firstLine="361"/>
        <w:jc w:val="center"/>
        <w:spacing w:line="440" w:lineRule="exact"/>
        <w:rPr>
          <w:rFonts w:hint="eastAsia" w:ascii="宋体" w:hAnsi="宋体" w:cs="宋体"/>
          <w:b/>
          <w:bCs/>
          <w:color w:val="000000"/>
          <w:sz w:val="24"/>
        </w:rPr>
      </w:pPr>
      <w:r>
        <w:rPr>
          <w:rFonts w:hint="eastAsia" w:ascii="宋体" w:hAnsi="宋体" w:cs="宋体"/>
          <w:b/>
          <w:bCs/>
          <w:color w:val="000000"/>
          <w:sz w:val="24"/>
        </w:rPr>
        <w:t xml:space="preserve">报价应含的各部分工作费用</w:t>
      </w:r>
      <w:r>
        <w:rPr>
          <w:rFonts w:hint="eastAsia" w:ascii="宋体" w:hAnsi="宋体" w:cs="宋体"/>
          <w:b/>
          <w:bCs/>
          <w:color w:val="000000"/>
          <w:sz w:val="24"/>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3138"/>
        <w:gridCol w:w="5785"/>
      </w:tblGrid>
      <w:tr>
        <w:trPr>
          <w:trHeight w:val="651"/>
        </w:trPr>
        <w:tc>
          <w:tcPr>
            <w:tcMar>
              <w:left w:w="108" w:type="dxa"/>
              <w:top w:w="0" w:type="dxa"/>
              <w:right w:w="108" w:type="dxa"/>
              <w:bottom w:w="0" w:type="dxa"/>
            </w:tcMar>
            <w:tcW w:w="373"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Mar>
              <w:left w:w="108" w:type="dxa"/>
              <w:top w:w="0" w:type="dxa"/>
              <w:right w:w="108" w:type="dxa"/>
              <w:bottom w:w="0" w:type="dxa"/>
            </w:tcMar>
            <w:tcW w:w="1627"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服务项目</w:t>
            </w:r>
            <w:r>
              <w:rPr>
                <w:rFonts w:hint="eastAsia" w:ascii="宋体" w:hAnsi="宋体" w:cs="宋体"/>
                <w:color w:val="000000"/>
                <w:sz w:val="24"/>
              </w:rPr>
            </w:r>
            <w:r/>
          </w:p>
        </w:tc>
        <w:tc>
          <w:tcPr>
            <w:tcMar>
              <w:left w:w="108" w:type="dxa"/>
              <w:top w:w="0" w:type="dxa"/>
              <w:right w:w="108" w:type="dxa"/>
              <w:bottom w:w="0" w:type="dxa"/>
            </w:tcMar>
            <w:tcW w:w="2999"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tc>
      </w:tr>
      <w:tr>
        <w:trPr>
          <w:trHeight w:val="651"/>
        </w:trPr>
        <w:tc>
          <w:tcPr>
            <w:tcMar>
              <w:left w:w="108" w:type="dxa"/>
              <w:top w:w="0" w:type="dxa"/>
              <w:right w:w="108" w:type="dxa"/>
              <w:bottom w:w="0" w:type="dxa"/>
            </w:tcMar>
            <w:tcW w:w="373"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Mar>
              <w:left w:w="108" w:type="dxa"/>
              <w:top w:w="0" w:type="dxa"/>
              <w:right w:w="108" w:type="dxa"/>
              <w:bottom w:w="0" w:type="dxa"/>
            </w:tcMar>
            <w:tcW w:w="1627" w:type="dxa"/>
            <w:vAlign w:val="center"/>
            <w:textDirection w:val="lrTb"/>
            <w:noWrap w:val="false"/>
          </w:tcPr>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备品备件及耗材费</w:t>
            </w:r>
            <w:r>
              <w:rPr>
                <w:rFonts w:hint="eastAsia" w:ascii="宋体" w:hAnsi="宋体" w:cs="宋体"/>
                <w:color w:val="000000"/>
                <w:sz w:val="24"/>
              </w:rPr>
            </w:r>
            <w:r/>
          </w:p>
        </w:tc>
        <w:tc>
          <w:tcPr>
            <w:tcMar>
              <w:left w:w="108" w:type="dxa"/>
              <w:top w:w="0" w:type="dxa"/>
              <w:right w:w="108" w:type="dxa"/>
              <w:bottom w:w="0" w:type="dxa"/>
            </w:tcMar>
            <w:tcW w:w="2999" w:type="dxa"/>
            <w:vAlign w:val="center"/>
            <w:textDirection w:val="lrTb"/>
            <w:noWrap w:val="false"/>
          </w:tcPr>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电极、泵、进样管、反应杯等所有备品备件及耗材（包含但不限于表4中所列各项）的费用</w:t>
            </w:r>
            <w:r>
              <w:rPr>
                <w:rFonts w:hint="eastAsia" w:ascii="宋体" w:hAnsi="宋体" w:cs="宋体"/>
                <w:color w:val="000000"/>
                <w:sz w:val="24"/>
              </w:rPr>
            </w:r>
            <w:r/>
          </w:p>
        </w:tc>
      </w:tr>
      <w:tr>
        <w:trPr>
          <w:trHeight w:val="522"/>
        </w:trPr>
        <w:tc>
          <w:tcPr>
            <w:tcMar>
              <w:left w:w="108" w:type="dxa"/>
              <w:top w:w="0" w:type="dxa"/>
              <w:right w:w="108" w:type="dxa"/>
              <w:bottom w:w="0" w:type="dxa"/>
            </w:tcMar>
            <w:tcW w:w="373"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Mar>
              <w:left w:w="108" w:type="dxa"/>
              <w:top w:w="0" w:type="dxa"/>
              <w:right w:w="108" w:type="dxa"/>
              <w:bottom w:w="0" w:type="dxa"/>
            </w:tcMar>
            <w:tcW w:w="1627" w:type="dxa"/>
            <w:vAlign w:val="center"/>
            <w:textDirection w:val="lrTb"/>
            <w:noWrap w:val="false"/>
          </w:tcPr>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日常运维费</w:t>
            </w:r>
            <w:r>
              <w:rPr>
                <w:rFonts w:hint="eastAsia" w:ascii="宋体" w:hAnsi="宋体" w:cs="宋体"/>
                <w:color w:val="000000"/>
                <w:sz w:val="24"/>
              </w:rPr>
            </w:r>
            <w:r/>
          </w:p>
        </w:tc>
        <w:tc>
          <w:tcPr>
            <w:tcMar>
              <w:left w:w="108" w:type="dxa"/>
              <w:top w:w="0" w:type="dxa"/>
              <w:right w:w="108" w:type="dxa"/>
              <w:bottom w:w="0" w:type="dxa"/>
            </w:tcMar>
            <w:tcW w:w="2999" w:type="dxa"/>
            <w:vAlign w:val="center"/>
            <w:textDirection w:val="lrTb"/>
            <w:noWrap w:val="false"/>
          </w:tcPr>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运维过程产生的试剂费、人工费、差旅费等</w:t>
            </w:r>
            <w:r>
              <w:rPr>
                <w:rFonts w:hint="eastAsia" w:ascii="宋体" w:hAnsi="宋体" w:cs="宋体"/>
                <w:color w:val="000000"/>
                <w:sz w:val="24"/>
              </w:rPr>
            </w:r>
            <w:r/>
          </w:p>
        </w:tc>
      </w:tr>
      <w:tr>
        <w:trPr>
          <w:trHeight w:val="590"/>
        </w:trPr>
        <w:tc>
          <w:tcPr>
            <w:tcMar>
              <w:left w:w="108" w:type="dxa"/>
              <w:top w:w="0" w:type="dxa"/>
              <w:right w:w="108" w:type="dxa"/>
              <w:bottom w:w="0" w:type="dxa"/>
            </w:tcMar>
            <w:tcW w:w="373"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Mar>
              <w:left w:w="108" w:type="dxa"/>
              <w:top w:w="0" w:type="dxa"/>
              <w:right w:w="108" w:type="dxa"/>
              <w:bottom w:w="0" w:type="dxa"/>
            </w:tcMar>
            <w:tcW w:w="1627" w:type="dxa"/>
            <w:vAlign w:val="center"/>
            <w:textDirection w:val="lrTb"/>
            <w:noWrap w:val="false"/>
          </w:tcPr>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仪器设备维修费</w:t>
            </w:r>
            <w:r>
              <w:rPr>
                <w:rFonts w:hint="eastAsia" w:ascii="宋体" w:hAnsi="宋体" w:cs="宋体"/>
                <w:color w:val="000000"/>
                <w:sz w:val="24"/>
              </w:rPr>
            </w:r>
            <w:r/>
          </w:p>
        </w:tc>
        <w:tc>
          <w:tcPr>
            <w:tcMar>
              <w:left w:w="108" w:type="dxa"/>
              <w:top w:w="0" w:type="dxa"/>
              <w:right w:w="108" w:type="dxa"/>
              <w:bottom w:w="0" w:type="dxa"/>
            </w:tcMar>
            <w:tcW w:w="2999" w:type="dxa"/>
            <w:vAlign w:val="center"/>
            <w:textDirection w:val="lrTb"/>
            <w:noWrap w:val="false"/>
          </w:tcPr>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站点所有仪器设备的维修，包括所有辅助设备的费用</w:t>
            </w:r>
            <w:r>
              <w:rPr>
                <w:rFonts w:hint="eastAsia" w:ascii="宋体" w:hAnsi="宋体" w:cs="宋体"/>
                <w:color w:val="000000"/>
                <w:sz w:val="24"/>
              </w:rPr>
            </w:r>
            <w:r/>
          </w:p>
        </w:tc>
      </w:tr>
      <w:tr>
        <w:trPr>
          <w:trHeight w:val="567"/>
        </w:trPr>
        <w:tc>
          <w:tcPr>
            <w:tcMar>
              <w:left w:w="108" w:type="dxa"/>
              <w:top w:w="0" w:type="dxa"/>
              <w:right w:w="108" w:type="dxa"/>
              <w:bottom w:w="0" w:type="dxa"/>
            </w:tcMar>
            <w:tcW w:w="373"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Mar>
              <w:left w:w="108" w:type="dxa"/>
              <w:top w:w="0" w:type="dxa"/>
              <w:right w:w="108" w:type="dxa"/>
              <w:bottom w:w="0" w:type="dxa"/>
            </w:tcMar>
            <w:tcW w:w="1627" w:type="dxa"/>
            <w:vAlign w:val="center"/>
            <w:textDirection w:val="lrTb"/>
            <w:noWrap w:val="false"/>
          </w:tcPr>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质量控制管理费</w:t>
            </w:r>
            <w:r>
              <w:rPr>
                <w:rFonts w:hint="eastAsia" w:ascii="宋体" w:hAnsi="宋体" w:cs="宋体"/>
                <w:color w:val="000000"/>
                <w:sz w:val="24"/>
              </w:rPr>
            </w:r>
            <w:r/>
          </w:p>
        </w:tc>
        <w:tc>
          <w:tcPr>
            <w:tcMar>
              <w:left w:w="108" w:type="dxa"/>
              <w:top w:w="0" w:type="dxa"/>
              <w:right w:w="108" w:type="dxa"/>
              <w:bottom w:w="0" w:type="dxa"/>
            </w:tcMar>
            <w:tcW w:w="2999" w:type="dxa"/>
            <w:vAlign w:val="center"/>
            <w:textDirection w:val="lrTb"/>
            <w:noWrap w:val="false"/>
          </w:tcPr>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内部质量控制工作产生的费用</w:t>
            </w:r>
            <w:r>
              <w:rPr>
                <w:rFonts w:hint="eastAsia" w:ascii="宋体" w:hAnsi="宋体" w:cs="宋体"/>
                <w:color w:val="000000"/>
                <w:sz w:val="24"/>
              </w:rPr>
            </w:r>
            <w:r/>
          </w:p>
        </w:tc>
      </w:tr>
      <w:tr>
        <w:trPr>
          <w:trHeight w:val="501"/>
        </w:trPr>
        <w:tc>
          <w:tcPr>
            <w:tcMar>
              <w:left w:w="108" w:type="dxa"/>
              <w:top w:w="0" w:type="dxa"/>
              <w:right w:w="108" w:type="dxa"/>
              <w:bottom w:w="0" w:type="dxa"/>
            </w:tcMar>
            <w:tcW w:w="373"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Mar>
              <w:left w:w="108" w:type="dxa"/>
              <w:top w:w="0" w:type="dxa"/>
              <w:right w:w="108" w:type="dxa"/>
              <w:bottom w:w="0" w:type="dxa"/>
            </w:tcMar>
            <w:tcW w:w="1627" w:type="dxa"/>
            <w:vAlign w:val="center"/>
            <w:textDirection w:val="lrTb"/>
            <w:noWrap w:val="false"/>
          </w:tcPr>
          <w:p>
            <w:pPr>
              <w:pStyle w:val="1270"/>
              <w:jc w:val="left"/>
              <w:spacing w:line="440" w:lineRule="exact"/>
              <w:rPr>
                <w:rFonts w:hint="eastAsia" w:ascii="宋体" w:hAnsi="宋体" w:cs="宋体"/>
                <w:color w:val="000000"/>
                <w:sz w:val="24"/>
              </w:rPr>
            </w:pPr>
            <w:r>
              <w:rPr>
                <w:rFonts w:hint="eastAsia" w:ascii="宋体" w:hAnsi="宋体" w:cs="宋体"/>
                <w:color w:val="000000"/>
                <w:sz w:val="24"/>
              </w:rPr>
              <w:t xml:space="preserve">备用设备费</w:t>
            </w:r>
            <w:r>
              <w:rPr>
                <w:rFonts w:hint="eastAsia" w:ascii="宋体" w:hAnsi="宋体" w:cs="宋体"/>
                <w:color w:val="000000"/>
                <w:sz w:val="24"/>
              </w:rPr>
            </w:r>
            <w:r/>
          </w:p>
        </w:tc>
        <w:tc>
          <w:tcPr>
            <w:tcMar>
              <w:left w:w="108" w:type="dxa"/>
              <w:top w:w="0" w:type="dxa"/>
              <w:right w:w="108" w:type="dxa"/>
              <w:bottom w:w="0" w:type="dxa"/>
            </w:tcMar>
            <w:tcW w:w="2999" w:type="dxa"/>
            <w:vAlign w:val="center"/>
            <w:textDirection w:val="lrTb"/>
            <w:noWrap w:val="false"/>
          </w:tcPr>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一套常规站备用设备的费用</w:t>
            </w:r>
            <w:r>
              <w:rPr>
                <w:rFonts w:hint="eastAsia" w:ascii="宋体" w:hAnsi="宋体" w:cs="宋体"/>
                <w:color w:val="000000"/>
                <w:sz w:val="24"/>
              </w:rPr>
            </w:r>
            <w:r/>
          </w:p>
        </w:tc>
      </w:tr>
      <w:tr>
        <w:trPr>
          <w:trHeight w:val="501"/>
        </w:trPr>
        <w:tc>
          <w:tcPr>
            <w:tcMar>
              <w:left w:w="108" w:type="dxa"/>
              <w:top w:w="0" w:type="dxa"/>
              <w:right w:w="108" w:type="dxa"/>
              <w:bottom w:w="0" w:type="dxa"/>
            </w:tcMar>
            <w:tcW w:w="373"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Mar>
              <w:left w:w="108" w:type="dxa"/>
              <w:top w:w="0" w:type="dxa"/>
              <w:right w:w="108" w:type="dxa"/>
              <w:bottom w:w="0" w:type="dxa"/>
            </w:tcMar>
            <w:tcW w:w="1627" w:type="dxa"/>
            <w:vAlign w:val="center"/>
            <w:textDirection w:val="lrTb"/>
            <w:noWrap w:val="false"/>
          </w:tcPr>
          <w:p>
            <w:pPr>
              <w:pStyle w:val="1270"/>
              <w:jc w:val="left"/>
              <w:spacing w:line="440" w:lineRule="exact"/>
              <w:rPr>
                <w:rFonts w:hint="eastAsia" w:ascii="宋体" w:hAnsi="宋体" w:cs="宋体"/>
                <w:color w:val="000000"/>
                <w:sz w:val="24"/>
              </w:rPr>
            </w:pPr>
            <w:r>
              <w:rPr>
                <w:rFonts w:hint="eastAsia" w:ascii="宋体" w:hAnsi="宋体" w:cs="宋体"/>
                <w:color w:val="000000"/>
                <w:sz w:val="24"/>
              </w:rPr>
              <w:t xml:space="preserve">废液处理费</w:t>
            </w:r>
            <w:r>
              <w:rPr>
                <w:rFonts w:hint="eastAsia" w:ascii="宋体" w:hAnsi="宋体" w:cs="宋体"/>
                <w:color w:val="000000"/>
                <w:sz w:val="24"/>
              </w:rPr>
            </w:r>
            <w:r/>
          </w:p>
        </w:tc>
        <w:tc>
          <w:tcPr>
            <w:tcMar>
              <w:left w:w="108" w:type="dxa"/>
              <w:top w:w="0" w:type="dxa"/>
              <w:right w:w="108" w:type="dxa"/>
              <w:bottom w:w="0" w:type="dxa"/>
            </w:tcMar>
            <w:tcW w:w="2999" w:type="dxa"/>
            <w:vAlign w:val="center"/>
            <w:textDirection w:val="lrTb"/>
            <w:noWrap w:val="false"/>
          </w:tcPr>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废液处理的费用</w:t>
            </w:r>
            <w:r>
              <w:rPr>
                <w:rFonts w:hint="eastAsia" w:ascii="宋体" w:hAnsi="宋体" w:cs="宋体"/>
                <w:color w:val="000000"/>
                <w:sz w:val="24"/>
              </w:rPr>
            </w:r>
            <w:r/>
          </w:p>
        </w:tc>
      </w:tr>
      <w:tr>
        <w:trPr>
          <w:trHeight w:val="501"/>
        </w:trPr>
        <w:tc>
          <w:tcPr>
            <w:tcMar>
              <w:left w:w="108" w:type="dxa"/>
              <w:top w:w="0" w:type="dxa"/>
              <w:right w:w="108" w:type="dxa"/>
              <w:bottom w:w="0" w:type="dxa"/>
            </w:tcMar>
            <w:tcW w:w="373"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Mar>
              <w:left w:w="108" w:type="dxa"/>
              <w:top w:w="0" w:type="dxa"/>
              <w:right w:w="108" w:type="dxa"/>
              <w:bottom w:w="0" w:type="dxa"/>
            </w:tcMar>
            <w:tcW w:w="1627" w:type="dxa"/>
            <w:vAlign w:val="center"/>
            <w:textDirection w:val="lrTb"/>
            <w:noWrap w:val="false"/>
          </w:tcPr>
          <w:p>
            <w:pPr>
              <w:pStyle w:val="1270"/>
              <w:jc w:val="left"/>
              <w:spacing w:line="440" w:lineRule="exact"/>
              <w:rPr>
                <w:rFonts w:hint="eastAsia" w:ascii="宋体" w:hAnsi="宋体" w:cs="宋体"/>
                <w:color w:val="000000"/>
                <w:sz w:val="24"/>
              </w:rPr>
            </w:pPr>
            <w:r>
              <w:rPr>
                <w:rFonts w:hint="eastAsia" w:ascii="宋体" w:hAnsi="宋体" w:cs="宋体"/>
                <w:color w:val="000000"/>
                <w:sz w:val="24"/>
              </w:rPr>
              <w:t xml:space="preserve">水电费</w:t>
            </w:r>
            <w:r>
              <w:rPr>
                <w:rFonts w:hint="eastAsia" w:ascii="宋体" w:hAnsi="宋体" w:cs="宋体"/>
                <w:color w:val="000000"/>
                <w:sz w:val="24"/>
              </w:rPr>
            </w:r>
            <w:r/>
          </w:p>
        </w:tc>
        <w:tc>
          <w:tcPr>
            <w:tcMar>
              <w:left w:w="108" w:type="dxa"/>
              <w:top w:w="0" w:type="dxa"/>
              <w:right w:w="108" w:type="dxa"/>
              <w:bottom w:w="0" w:type="dxa"/>
            </w:tcMar>
            <w:tcW w:w="2999" w:type="dxa"/>
            <w:vAlign w:val="center"/>
            <w:textDirection w:val="lrTb"/>
            <w:noWrap w:val="false"/>
          </w:tcPr>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10个水站的电费</w:t>
            </w:r>
            <w:r>
              <w:rPr>
                <w:rFonts w:hint="eastAsia" w:ascii="宋体" w:hAnsi="宋体" w:cs="宋体"/>
                <w:color w:val="000000"/>
                <w:sz w:val="24"/>
              </w:rPr>
            </w:r>
            <w:r/>
          </w:p>
        </w:tc>
      </w:tr>
      <w:tr>
        <w:trPr>
          <w:trHeight w:val="501"/>
        </w:trPr>
        <w:tc>
          <w:tcPr>
            <w:tcMar>
              <w:left w:w="108" w:type="dxa"/>
              <w:top w:w="0" w:type="dxa"/>
              <w:right w:w="108" w:type="dxa"/>
              <w:bottom w:w="0" w:type="dxa"/>
            </w:tcMar>
            <w:tcW w:w="373"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Mar>
              <w:left w:w="108" w:type="dxa"/>
              <w:top w:w="0" w:type="dxa"/>
              <w:right w:w="108" w:type="dxa"/>
              <w:bottom w:w="0" w:type="dxa"/>
            </w:tcMar>
            <w:tcW w:w="1627" w:type="dxa"/>
            <w:vAlign w:val="center"/>
            <w:textDirection w:val="lrTb"/>
            <w:noWrap w:val="false"/>
          </w:tcPr>
          <w:p>
            <w:pPr>
              <w:pStyle w:val="1270"/>
              <w:jc w:val="left"/>
              <w:spacing w:line="440" w:lineRule="exact"/>
              <w:rPr>
                <w:rFonts w:hint="eastAsia" w:ascii="宋体" w:hAnsi="宋体" w:cs="宋体"/>
                <w:color w:val="000000"/>
                <w:sz w:val="24"/>
              </w:rPr>
            </w:pPr>
            <w:r>
              <w:rPr>
                <w:rFonts w:hint="eastAsia" w:ascii="宋体" w:hAnsi="宋体" w:cs="宋体"/>
                <w:color w:val="000000"/>
                <w:sz w:val="24"/>
              </w:rPr>
              <w:t xml:space="preserve">通讯费</w:t>
            </w:r>
            <w:r>
              <w:rPr>
                <w:rFonts w:hint="eastAsia" w:ascii="宋体" w:hAnsi="宋体" w:cs="宋体"/>
                <w:color w:val="000000"/>
                <w:sz w:val="24"/>
              </w:rPr>
            </w:r>
            <w:r/>
          </w:p>
        </w:tc>
        <w:tc>
          <w:tcPr>
            <w:tcMar>
              <w:left w:w="108" w:type="dxa"/>
              <w:top w:w="0" w:type="dxa"/>
              <w:right w:w="108" w:type="dxa"/>
              <w:bottom w:w="0" w:type="dxa"/>
            </w:tcMar>
            <w:tcW w:w="2999" w:type="dxa"/>
            <w:vAlign w:val="center"/>
            <w:textDirection w:val="lrTb"/>
            <w:noWrap w:val="false"/>
          </w:tcPr>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10个水站的通讯费用</w:t>
            </w:r>
            <w:r>
              <w:rPr>
                <w:rFonts w:hint="eastAsia" w:ascii="宋体" w:hAnsi="宋体" w:cs="宋体"/>
                <w:color w:val="000000"/>
                <w:sz w:val="24"/>
              </w:rPr>
            </w:r>
            <w:r/>
          </w:p>
        </w:tc>
      </w:tr>
    </w:tbl>
    <w:p>
      <w:pPr>
        <w:pStyle w:val="1270"/>
        <w:ind w:firstLine="361"/>
        <w:spacing w:line="440" w:lineRule="exact"/>
        <w:rPr>
          <w:rFonts w:hint="eastAsia" w:ascii="宋体" w:hAnsi="宋体" w:cs="宋体"/>
          <w:b/>
          <w:bCs/>
          <w:sz w:val="24"/>
        </w:rPr>
      </w:pPr>
      <w:r/>
      <w:bookmarkStart w:id="674" w:name="_Toc409705756"/>
      <w:r/>
      <w:bookmarkStart w:id="675" w:name="_Toc477789256"/>
      <w:r>
        <w:rPr>
          <w:rFonts w:hint="eastAsia" w:ascii="宋体" w:hAnsi="宋体" w:cs="宋体"/>
          <w:b/>
          <w:bCs/>
          <w:sz w:val="24"/>
        </w:rPr>
        <w:t xml:space="preserve">3、水质自动监测站运维服务要求：</w:t>
      </w:r>
      <w:r>
        <w:rPr>
          <w:rFonts w:hint="eastAsia" w:ascii="宋体" w:hAnsi="宋体" w:cs="宋体"/>
          <w:b/>
          <w:bCs/>
          <w:sz w:val="24"/>
        </w:rPr>
      </w:r>
      <w:r/>
    </w:p>
    <w:p>
      <w:pPr>
        <w:pStyle w:val="1270"/>
        <w:ind w:firstLine="360"/>
        <w:jc w:val="left"/>
        <w:spacing w:line="440" w:lineRule="exact"/>
        <w:rPr>
          <w:rFonts w:hint="eastAsia" w:ascii="宋体" w:hAnsi="宋体" w:cs="宋体"/>
          <w:sz w:val="24"/>
        </w:rPr>
      </w:pPr>
      <w:r>
        <w:rPr>
          <w:rFonts w:hint="eastAsia" w:ascii="宋体" w:hAnsi="宋体" w:cs="宋体"/>
          <w:sz w:val="24"/>
        </w:rPr>
        <w:t xml:space="preserve">3.1 供应商提供、配制并定期更换在线监测仪器所需试剂和标样。</w:t>
      </w:r>
      <w:r>
        <w:rPr>
          <w:rFonts w:hint="eastAsia" w:ascii="宋体" w:hAnsi="宋体" w:cs="宋体"/>
          <w:sz w:val="24"/>
        </w:rPr>
      </w:r>
      <w:r/>
    </w:p>
    <w:p>
      <w:pPr>
        <w:pStyle w:val="1270"/>
        <w:ind w:firstLine="360"/>
        <w:jc w:val="left"/>
        <w:spacing w:line="440" w:lineRule="exact"/>
        <w:rPr>
          <w:rFonts w:hint="eastAsia" w:ascii="宋体" w:hAnsi="宋体" w:cs="宋体"/>
          <w:sz w:val="24"/>
        </w:rPr>
      </w:pPr>
      <w:r>
        <w:rPr>
          <w:rFonts w:hint="eastAsia" w:ascii="宋体" w:hAnsi="宋体" w:cs="宋体"/>
          <w:sz w:val="24"/>
        </w:rPr>
        <w:t xml:space="preserve">3.2 供应商应列明在线监测仪器运营期间各项费用的预算开支。 </w:t>
      </w:r>
      <w:r>
        <w:rPr>
          <w:rFonts w:hint="eastAsia" w:ascii="宋体" w:hAnsi="宋体" w:cs="宋体"/>
          <w:sz w:val="24"/>
        </w:rPr>
      </w:r>
      <w:r/>
    </w:p>
    <w:p>
      <w:pPr>
        <w:pStyle w:val="1270"/>
        <w:ind w:firstLine="360"/>
        <w:jc w:val="left"/>
        <w:spacing w:line="440" w:lineRule="exact"/>
        <w:rPr>
          <w:rFonts w:hint="eastAsia" w:ascii="宋体" w:hAnsi="宋体" w:cs="宋体"/>
          <w:sz w:val="24"/>
        </w:rPr>
      </w:pPr>
      <w:r>
        <w:rPr>
          <w:rFonts w:hint="eastAsia" w:ascii="宋体" w:hAnsi="宋体" w:cs="宋体"/>
          <w:sz w:val="24"/>
        </w:rPr>
        <w:t xml:space="preserve">3.3 供应商须提供完整的水质自动站在线监测仪器运行维护实施方案（包括应急事故处理方案等）。明确维护方法、周期、内容和技术保障。</w:t>
      </w:r>
      <w:r>
        <w:rPr>
          <w:rFonts w:hint="eastAsia" w:ascii="宋体" w:hAnsi="宋体" w:cs="宋体"/>
          <w:sz w:val="24"/>
        </w:rPr>
      </w:r>
      <w:r/>
    </w:p>
    <w:p>
      <w:pPr>
        <w:pStyle w:val="1270"/>
        <w:ind w:firstLine="360"/>
        <w:jc w:val="left"/>
        <w:spacing w:line="440" w:lineRule="exact"/>
        <w:rPr>
          <w:rFonts w:hint="eastAsia" w:ascii="宋体" w:hAnsi="宋体" w:cs="宋体"/>
          <w:sz w:val="24"/>
        </w:rPr>
      </w:pPr>
      <w:r>
        <w:rPr>
          <w:rFonts w:hint="eastAsia" w:ascii="宋体" w:hAnsi="宋体" w:cs="宋体"/>
          <w:sz w:val="24"/>
        </w:rPr>
        <w:t xml:space="preserve">3.4 不论何时，成交人都须承担监测数据的保密责任；成交人按照采购方的要求，进行报告和传输有关的监测数据；未经招标方许可不得以任何方式和渠道向外界传递任何监测数据，否则采购方有权终止合同，并追究成交人相关法律责任。 </w:t>
      </w:r>
      <w:r>
        <w:rPr>
          <w:rFonts w:hint="eastAsia" w:ascii="宋体" w:hAnsi="宋体" w:cs="宋体"/>
          <w:sz w:val="24"/>
        </w:rPr>
      </w:r>
      <w:r/>
    </w:p>
    <w:p>
      <w:pPr>
        <w:pStyle w:val="1270"/>
        <w:ind w:firstLine="360"/>
        <w:jc w:val="left"/>
        <w:spacing w:line="440" w:lineRule="exact"/>
        <w:rPr>
          <w:rFonts w:hint="eastAsia" w:ascii="宋体" w:hAnsi="宋体" w:cs="宋体"/>
          <w:sz w:val="24"/>
        </w:rPr>
      </w:pPr>
      <w:r>
        <w:rPr>
          <w:rFonts w:hint="eastAsia" w:ascii="宋体" w:hAnsi="宋体" w:cs="宋体"/>
          <w:sz w:val="24"/>
        </w:rPr>
        <w:t xml:space="preserve">3.5 供应商须有运维水质自动站运维的案例，提供证明材料。 </w:t>
      </w:r>
      <w:r>
        <w:rPr>
          <w:rFonts w:hint="eastAsia" w:ascii="宋体" w:hAnsi="宋体" w:cs="宋体"/>
          <w:sz w:val="24"/>
        </w:rPr>
      </w:r>
      <w:r/>
    </w:p>
    <w:p>
      <w:pPr>
        <w:pStyle w:val="1270"/>
        <w:ind w:firstLine="360"/>
        <w:jc w:val="left"/>
        <w:spacing w:line="440" w:lineRule="exact"/>
        <w:rPr>
          <w:rFonts w:hint="eastAsia" w:ascii="宋体" w:hAnsi="宋体" w:cs="宋体"/>
          <w:sz w:val="24"/>
        </w:rPr>
      </w:pPr>
      <w:r>
        <w:rPr>
          <w:rFonts w:hint="eastAsia" w:ascii="宋体" w:hAnsi="宋体" w:cs="宋体"/>
          <w:sz w:val="24"/>
        </w:rPr>
        <w:t xml:space="preserve">3.6 供应商须自行配置充足的水质自动站的分析仪表备用机，在水质自动站仪器仪表发生故障且48小时不能修复时，须用备机替代工作。 </w:t>
      </w:r>
      <w:r>
        <w:rPr>
          <w:rFonts w:hint="eastAsia" w:ascii="宋体" w:hAnsi="宋体" w:cs="宋体"/>
          <w:sz w:val="24"/>
        </w:rPr>
      </w:r>
      <w:r/>
    </w:p>
    <w:p>
      <w:pPr>
        <w:pStyle w:val="1270"/>
        <w:ind w:firstLine="360"/>
        <w:jc w:val="left"/>
        <w:spacing w:line="440" w:lineRule="exact"/>
        <w:rPr>
          <w:rFonts w:hint="eastAsia" w:ascii="宋体" w:hAnsi="宋体" w:cs="宋体"/>
          <w:sz w:val="24"/>
        </w:rPr>
      </w:pPr>
      <w:r>
        <w:rPr>
          <w:rFonts w:hint="eastAsia" w:ascii="宋体" w:hAnsi="宋体" w:cs="宋体"/>
          <w:sz w:val="24"/>
        </w:rPr>
        <w:t xml:space="preserve">3.7 供应商应具有水质自动站常规参数（如高锰酸盐指数、氨氮，pH等）的便携式仪器（承诺中标后提供），并在需要时用于水质自动站的比对考核。供应商应自有通过计量认证的实验室或委托计量认证的实验室，满足试剂配制、标样考核（供应商自控）及比对分析技术要求。 </w:t>
      </w:r>
      <w:r>
        <w:rPr>
          <w:rFonts w:hint="eastAsia" w:ascii="宋体" w:hAnsi="宋体" w:cs="宋体"/>
          <w:sz w:val="24"/>
        </w:rPr>
      </w:r>
      <w:r/>
    </w:p>
    <w:p>
      <w:pPr>
        <w:pStyle w:val="1270"/>
        <w:ind w:firstLine="360"/>
        <w:jc w:val="left"/>
        <w:spacing w:line="440" w:lineRule="exact"/>
        <w:rPr>
          <w:rFonts w:hint="eastAsia" w:ascii="宋体" w:hAnsi="宋体" w:cs="宋体"/>
          <w:sz w:val="24"/>
        </w:rPr>
      </w:pPr>
      <w:r>
        <w:rPr>
          <w:rFonts w:hint="eastAsia" w:ascii="宋体" w:hAnsi="宋体" w:cs="宋体"/>
          <w:sz w:val="24"/>
        </w:rPr>
        <w:t xml:space="preserve">3.8 供应商运维人员必须配备专用工具，包括便携式电脑、万用表、各种硬件接口线、改线工具、接口调试软件及常用零部件等。 </w:t>
      </w:r>
      <w:r>
        <w:rPr>
          <w:rFonts w:hint="eastAsia" w:ascii="宋体" w:hAnsi="宋体" w:cs="宋体"/>
          <w:sz w:val="24"/>
        </w:rPr>
      </w:r>
      <w:r/>
    </w:p>
    <w:p>
      <w:pPr>
        <w:pStyle w:val="1270"/>
        <w:ind w:firstLine="360"/>
        <w:jc w:val="left"/>
        <w:spacing w:line="440" w:lineRule="exact"/>
        <w:rPr>
          <w:rFonts w:hint="eastAsia" w:ascii="宋体" w:hAnsi="宋体" w:cs="宋体"/>
          <w:sz w:val="24"/>
        </w:rPr>
      </w:pPr>
      <w:r>
        <w:rPr>
          <w:rFonts w:hint="eastAsia" w:ascii="宋体" w:hAnsi="宋体" w:cs="宋体"/>
          <w:sz w:val="24"/>
        </w:rPr>
        <w:t xml:space="preserve">3.9 供应商</w:t>
      </w:r>
      <w:r>
        <w:rPr>
          <w:rFonts w:hint="eastAsia" w:ascii="宋体" w:hAnsi="宋体" w:cs="宋体"/>
          <w:color w:val="000000"/>
          <w:sz w:val="24"/>
        </w:rPr>
        <w:t xml:space="preserve">在项目所在地区域自有或承诺在成交后租赁固定的办公场所</w:t>
      </w:r>
      <w:r>
        <w:rPr>
          <w:rFonts w:hint="eastAsia" w:ascii="宋体" w:hAnsi="宋体" w:cs="宋体"/>
          <w:sz w:val="24"/>
        </w:rPr>
        <w:t xml:space="preserve">，配备至少2名</w:t>
      </w:r>
      <w:r>
        <w:rPr>
          <w:rFonts w:hint="eastAsia" w:ascii="宋体" w:hAnsi="宋体" w:cs="宋体"/>
          <w:iCs/>
          <w:color w:val="000000"/>
          <w:sz w:val="24"/>
        </w:rPr>
        <w:t xml:space="preserve">专业技术人员以及2辆运维专用车辆。运维人员需</w:t>
      </w:r>
      <w:r>
        <w:rPr>
          <w:rFonts w:hint="eastAsia" w:ascii="宋体" w:hAnsi="宋体" w:cs="宋体"/>
          <w:sz w:val="24"/>
        </w:rPr>
        <w:t xml:space="preserve">持有中国环境监测总站颁发的水质自动监测培训合格证书。 </w:t>
      </w:r>
      <w:r>
        <w:rPr>
          <w:rFonts w:hint="eastAsia" w:ascii="宋体" w:hAnsi="宋体" w:cs="宋体"/>
          <w:sz w:val="24"/>
        </w:rPr>
      </w:r>
      <w:r/>
    </w:p>
    <w:p>
      <w:pPr>
        <w:pStyle w:val="1270"/>
        <w:ind w:firstLine="360"/>
        <w:jc w:val="left"/>
        <w:spacing w:line="440" w:lineRule="exact"/>
        <w:rPr>
          <w:rFonts w:hint="eastAsia" w:ascii="宋体" w:hAnsi="宋体" w:cs="宋体"/>
          <w:sz w:val="24"/>
        </w:rPr>
      </w:pPr>
      <w:r>
        <w:rPr>
          <w:rFonts w:hint="eastAsia" w:ascii="宋体" w:hAnsi="宋体" w:cs="宋体"/>
          <w:sz w:val="24"/>
        </w:rPr>
        <w:t xml:space="preserve">3.10 成交人需安排1名专职工程师开展长期现场维护工作，包括但不限于数据监控、审核、统计、分析等内容。</w:t>
      </w:r>
      <w:r>
        <w:rPr>
          <w:rFonts w:hint="eastAsia" w:ascii="宋体" w:hAnsi="宋体" w:cs="宋体"/>
          <w:sz w:val="24"/>
        </w:rPr>
      </w:r>
      <w:r/>
    </w:p>
    <w:p>
      <w:pPr>
        <w:pStyle w:val="1270"/>
        <w:ind w:firstLine="482"/>
        <w:spacing w:line="440" w:lineRule="exact"/>
        <w:rPr>
          <w:rFonts w:hint="eastAsia" w:ascii="宋体" w:hAnsi="宋体" w:cs="宋体"/>
          <w:b/>
          <w:bCs/>
          <w:sz w:val="24"/>
        </w:rPr>
      </w:pPr>
      <w:r>
        <w:rPr>
          <w:rFonts w:hint="eastAsia" w:ascii="宋体" w:hAnsi="宋体" w:cs="宋体"/>
          <w:b/>
          <w:bCs/>
          <w:sz w:val="24"/>
        </w:rPr>
        <w:t xml:space="preserve">4、水质自动站的运维管理要求</w:t>
      </w:r>
      <w:r>
        <w:rPr>
          <w:rFonts w:hint="eastAsia" w:ascii="宋体" w:hAnsi="宋体" w:cs="宋体"/>
          <w:b/>
          <w:bCs/>
          <w:sz w:val="24"/>
        </w:rPr>
      </w:r>
      <w:r/>
    </w:p>
    <w:p>
      <w:pPr>
        <w:pStyle w:val="1270"/>
        <w:ind w:firstLine="480"/>
        <w:jc w:val="left"/>
        <w:spacing w:line="440" w:lineRule="exact"/>
        <w:rPr>
          <w:rFonts w:hint="eastAsia" w:ascii="宋体" w:hAnsi="宋体" w:cs="宋体"/>
          <w:sz w:val="24"/>
        </w:rPr>
      </w:pPr>
      <w:r>
        <w:rPr>
          <w:rFonts w:hint="eastAsia" w:ascii="宋体" w:hAnsi="宋体" w:cs="宋体"/>
          <w:sz w:val="24"/>
        </w:rPr>
        <w:t xml:space="preserve">在运行维护期间，成交人必须遵守国家的有关法律法规及其他规定，本着为采购人负责的精神，依照规范，科学管理，使各监测监控系统运行达到国家及行业颁布的技术标准和 采购人要求的考核指标要求；使水质自动站系统运行真正发挥其效能和作用。 </w:t>
      </w:r>
      <w:r>
        <w:rPr>
          <w:rFonts w:hint="eastAsia" w:ascii="宋体" w:hAnsi="宋体" w:cs="宋体"/>
          <w:sz w:val="24"/>
        </w:rPr>
      </w:r>
      <w:r/>
    </w:p>
    <w:p>
      <w:pPr>
        <w:pStyle w:val="1270"/>
        <w:ind w:firstLine="480"/>
        <w:jc w:val="left"/>
        <w:spacing w:line="440" w:lineRule="exact"/>
        <w:rPr>
          <w:rFonts w:hint="eastAsia" w:ascii="宋体" w:hAnsi="宋体" w:cs="宋体"/>
          <w:sz w:val="24"/>
        </w:rPr>
      </w:pPr>
      <w:r>
        <w:rPr>
          <w:rFonts w:hint="eastAsia" w:ascii="宋体" w:hAnsi="宋体" w:cs="宋体"/>
          <w:sz w:val="24"/>
        </w:rPr>
        <w:t xml:space="preserve">4.1 成交人应提供、配制并定期更换水质自动站仪表所需试剂、气体和标样，并承担相应费用。 </w:t>
      </w:r>
      <w:r>
        <w:rPr>
          <w:rFonts w:hint="eastAsia" w:ascii="宋体" w:hAnsi="宋体" w:cs="宋体"/>
          <w:sz w:val="24"/>
        </w:rPr>
      </w:r>
      <w:r/>
    </w:p>
    <w:p>
      <w:pPr>
        <w:pStyle w:val="1270"/>
        <w:ind w:firstLine="480"/>
        <w:jc w:val="left"/>
        <w:pageBreakBefore w:val="0"/>
        <w:spacing w:line="440" w:lineRule="exact"/>
        <w:rPr>
          <w:rFonts w:hint="eastAsia" w:ascii="宋体" w:hAnsi="宋体" w:eastAsia="宋体" w:cs="宋体"/>
          <w:sz w:val="24"/>
        </w:rPr>
      </w:pPr>
      <w:r>
        <w:rPr>
          <w:rFonts w:hint="eastAsia" w:ascii="宋体" w:hAnsi="宋体" w:eastAsia="宋体" w:cs="宋体"/>
          <w:sz w:val="24"/>
        </w:rPr>
        <w:t xml:space="preserve">4.2 成交人应提供并定期更换水质自动站系统和仪表所需备品备件，并承担相应费用。</w:t>
      </w:r>
      <w:r>
        <w:rPr>
          <w:rFonts w:hint="eastAsia" w:ascii="宋体" w:hAnsi="宋体" w:eastAsia="宋体" w:cs="宋体"/>
          <w:sz w:val="24"/>
        </w:rPr>
      </w:r>
      <w:r/>
    </w:p>
    <w:p>
      <w:pPr>
        <w:pStyle w:val="1270"/>
        <w:ind w:firstLine="480"/>
        <w:jc w:val="left"/>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4.3 成交人应对水质自动站系统和仪表进行定期检修、维护保养。 </w:t>
      </w:r>
      <w:r>
        <w:rPr>
          <w:rFonts w:hint="eastAsia" w:ascii="宋体" w:hAnsi="宋体" w:eastAsia="宋体" w:cs="宋体"/>
          <w:sz w:val="24"/>
          <w:szCs w:val="24"/>
        </w:rPr>
      </w:r>
      <w:r/>
    </w:p>
    <w:p>
      <w:pPr>
        <w:pStyle w:val="1270"/>
        <w:ind w:firstLine="480"/>
        <w:jc w:val="left"/>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4.4 水质自动站运行维护内容及要求一览表</w:t>
      </w:r>
      <w:r>
        <w:rPr>
          <w:rFonts w:hint="eastAsia" w:ascii="宋体" w:hAnsi="宋体" w:eastAsia="宋体" w:cs="宋体"/>
          <w:sz w:val="24"/>
          <w:szCs w:val="24"/>
        </w:rPr>
      </w:r>
      <w:r/>
    </w:p>
    <w:p>
      <w:pPr>
        <w:pStyle w:val="1270"/>
        <w:ind w:firstLine="48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（a）每周工作内容</w:t>
      </w:r>
      <w:r>
        <w:rPr>
          <w:rFonts w:hint="eastAsia" w:ascii="宋体" w:hAnsi="宋体" w:eastAsia="宋体" w:cs="宋体"/>
          <w:sz w:val="24"/>
          <w:szCs w:val="24"/>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22"/>
        <w:gridCol w:w="1579"/>
        <w:gridCol w:w="1896"/>
        <w:gridCol w:w="5542"/>
      </w:tblGrid>
      <w:tr>
        <w:trPr>
          <w:trHeight w:val="566"/>
        </w:trPr>
        <w:tc>
          <w:tcPr>
            <w:tcW w:w="22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83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维护内容</w:t>
            </w:r>
            <w:r>
              <w:rPr>
                <w:rFonts w:hint="eastAsia" w:ascii="宋体" w:hAnsi="宋体" w:eastAsia="宋体" w:cs="宋体"/>
                <w:sz w:val="24"/>
                <w:szCs w:val="24"/>
              </w:rPr>
            </w:r>
            <w:r/>
          </w:p>
        </w:tc>
        <w:tc>
          <w:tcPr>
            <w:tcW w:w="100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维护周期及目标</w:t>
            </w: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维护要求</w:t>
            </w:r>
            <w:r>
              <w:rPr>
                <w:rFonts w:hint="eastAsia" w:ascii="宋体" w:hAnsi="宋体" w:eastAsia="宋体" w:cs="宋体"/>
                <w:sz w:val="24"/>
                <w:szCs w:val="24"/>
              </w:rPr>
            </w:r>
            <w:r/>
          </w:p>
        </w:tc>
      </w:tr>
      <w:tr>
        <w:trPr>
          <w:trHeight w:val="315"/>
        </w:trPr>
        <w:tc>
          <w:tcPr>
            <w:tcW w:w="22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836"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通讯检查</w:t>
            </w:r>
            <w:r>
              <w:rPr>
                <w:rFonts w:hint="eastAsia" w:ascii="宋体" w:hAnsi="宋体" w:eastAsia="宋体" w:cs="宋体"/>
                <w:sz w:val="24"/>
                <w:szCs w:val="24"/>
              </w:rPr>
            </w:r>
            <w:r/>
          </w:p>
        </w:tc>
        <w:tc>
          <w:tcPr>
            <w:tcW w:w="100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1次/周，确保控</w:t>
            </w:r>
            <w:r>
              <w:rPr>
                <w:rFonts w:hint="eastAsia" w:ascii="宋体" w:hAnsi="宋体" w:eastAsia="宋体" w:cs="宋体"/>
                <w:sz w:val="24"/>
                <w:szCs w:val="24"/>
              </w:rPr>
            </w:r>
            <w:r/>
          </w:p>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制和数据上传通</w:t>
            </w:r>
            <w:r>
              <w:rPr>
                <w:rFonts w:hint="eastAsia" w:ascii="宋体" w:hAnsi="宋体" w:eastAsia="宋体" w:cs="宋体"/>
                <w:sz w:val="24"/>
                <w:szCs w:val="24"/>
              </w:rPr>
            </w:r>
            <w:r/>
          </w:p>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道畅通</w:t>
            </w: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确保工控机各个串口和PLC、数采仪、分析仪器连接一一对应正确且牢固</w:t>
            </w:r>
            <w:r>
              <w:rPr>
                <w:rFonts w:hint="eastAsia" w:ascii="宋体" w:hAnsi="宋体" w:eastAsia="宋体" w:cs="宋体"/>
                <w:sz w:val="24"/>
                <w:szCs w:val="24"/>
              </w:rPr>
            </w:r>
            <w:r/>
          </w:p>
        </w:tc>
      </w:tr>
      <w:tr>
        <w:trPr>
          <w:trHeight w:val="31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通过现场监控软件测试工控与PLC及各个仪器之间是否连接正确</w:t>
            </w:r>
            <w:r>
              <w:rPr>
                <w:rFonts w:hint="eastAsia" w:ascii="宋体" w:hAnsi="宋体" w:eastAsia="宋体" w:cs="宋体"/>
                <w:sz w:val="24"/>
                <w:szCs w:val="24"/>
              </w:rPr>
            </w:r>
            <w:r/>
          </w:p>
        </w:tc>
      </w:tr>
      <w:tr>
        <w:trPr>
          <w:trHeight w:val="31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VPN网络设备检查，保证通讯畅通</w:t>
            </w:r>
            <w:r>
              <w:rPr>
                <w:rFonts w:hint="eastAsia" w:ascii="宋体" w:hAnsi="宋体" w:eastAsia="宋体" w:cs="宋体"/>
                <w:sz w:val="24"/>
                <w:szCs w:val="24"/>
              </w:rPr>
            </w:r>
            <w:r/>
          </w:p>
        </w:tc>
      </w:tr>
      <w:tr>
        <w:trPr>
          <w:trHeight w:val="300"/>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视频监控设备检查，监控视角位置</w:t>
            </w:r>
            <w:r>
              <w:rPr>
                <w:rFonts w:hint="eastAsia" w:ascii="宋体" w:hAnsi="宋体" w:eastAsia="宋体" w:cs="宋体"/>
                <w:sz w:val="24"/>
                <w:szCs w:val="24"/>
              </w:rPr>
            </w:r>
            <w:r/>
          </w:p>
        </w:tc>
      </w:tr>
      <w:tr>
        <w:trPr>
          <w:trHeight w:val="315"/>
        </w:trPr>
        <w:tc>
          <w:tcPr>
            <w:tcW w:w="22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836"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PLC检查</w:t>
            </w: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检查PLC状态数据传输和报警灯，确保无数据传输和报警</w:t>
            </w:r>
            <w:r>
              <w:rPr>
                <w:rFonts w:hint="eastAsia" w:ascii="宋体" w:hAnsi="宋体" w:eastAsia="宋体" w:cs="宋体"/>
                <w:sz w:val="24"/>
                <w:szCs w:val="24"/>
              </w:rPr>
            </w:r>
            <w:r/>
          </w:p>
        </w:tc>
      </w:tr>
      <w:tr>
        <w:trPr>
          <w:trHeight w:val="31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确保取水过程中PLC上各个点输入输出状态正确</w:t>
            </w:r>
            <w:r>
              <w:rPr>
                <w:rFonts w:hint="eastAsia" w:ascii="宋体" w:hAnsi="宋体" w:eastAsia="宋体" w:cs="宋体"/>
                <w:sz w:val="24"/>
                <w:szCs w:val="24"/>
              </w:rPr>
            </w:r>
            <w:r/>
          </w:p>
        </w:tc>
      </w:tr>
      <w:tr>
        <w:trPr>
          <w:trHeight w:val="31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测量并确保PLC时钟电池电压正常。必要的情况更换电池</w:t>
            </w:r>
            <w:r>
              <w:rPr>
                <w:rFonts w:hint="eastAsia" w:ascii="宋体" w:hAnsi="宋体" w:eastAsia="宋体" w:cs="宋体"/>
                <w:sz w:val="24"/>
                <w:szCs w:val="24"/>
              </w:rPr>
            </w:r>
            <w:r/>
          </w:p>
        </w:tc>
      </w:tr>
      <w:tr>
        <w:trPr>
          <w:trHeight w:val="330"/>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确保PLC串口模块连接牢固</w:t>
            </w:r>
            <w:r>
              <w:rPr>
                <w:rFonts w:hint="eastAsia" w:ascii="宋体" w:hAnsi="宋体" w:eastAsia="宋体" w:cs="宋体"/>
                <w:sz w:val="24"/>
                <w:szCs w:val="24"/>
              </w:rPr>
            </w:r>
            <w:r/>
          </w:p>
        </w:tc>
      </w:tr>
      <w:tr>
        <w:trPr>
          <w:trHeight w:val="330"/>
        </w:trPr>
        <w:tc>
          <w:tcPr>
            <w:tcW w:w="22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83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面板开关检查</w:t>
            </w:r>
            <w:r>
              <w:rPr>
                <w:rFonts w:hint="eastAsia" w:ascii="宋体" w:hAnsi="宋体" w:eastAsia="宋体" w:cs="宋体"/>
                <w:sz w:val="24"/>
                <w:szCs w:val="24"/>
              </w:rPr>
            </w:r>
            <w:r/>
          </w:p>
        </w:tc>
        <w:tc>
          <w:tcPr>
            <w:tcW w:w="100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1次/周，确保各</w:t>
            </w:r>
            <w:r>
              <w:rPr>
                <w:rFonts w:hint="eastAsia" w:ascii="宋体" w:hAnsi="宋体" w:eastAsia="宋体" w:cs="宋体"/>
                <w:sz w:val="24"/>
                <w:szCs w:val="24"/>
              </w:rPr>
            </w:r>
            <w:r/>
          </w:p>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开关功能正常</w:t>
            </w: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检查控制柜前面板开关和指示灯确保其工作正常</w:t>
            </w:r>
            <w:r>
              <w:rPr>
                <w:rFonts w:hint="eastAsia" w:ascii="宋体" w:hAnsi="宋体" w:eastAsia="宋体" w:cs="宋体"/>
                <w:sz w:val="24"/>
                <w:szCs w:val="24"/>
              </w:rPr>
            </w:r>
            <w:r/>
          </w:p>
        </w:tc>
      </w:tr>
      <w:tr>
        <w:trPr>
          <w:trHeight w:val="330"/>
        </w:trPr>
        <w:tc>
          <w:tcPr>
            <w:tcW w:w="22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83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配电板清扫</w:t>
            </w: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清扫配电板上各个元件上的灰尘等</w:t>
            </w:r>
            <w:r>
              <w:rPr>
                <w:rFonts w:hint="eastAsia" w:ascii="宋体" w:hAnsi="宋体" w:eastAsia="宋体" w:cs="宋体"/>
                <w:sz w:val="24"/>
                <w:szCs w:val="24"/>
              </w:rPr>
            </w:r>
            <w:r/>
          </w:p>
        </w:tc>
      </w:tr>
      <w:tr>
        <w:trPr>
          <w:trHeight w:val="585"/>
        </w:trPr>
        <w:tc>
          <w:tcPr>
            <w:tcW w:w="22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83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配电板状态检查</w:t>
            </w: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检查确保配电板上各个接线接头不松动，并清除锈蚀接头。确保各个接触器和继电器工作正常</w:t>
            </w:r>
            <w:r>
              <w:rPr>
                <w:rFonts w:hint="eastAsia" w:ascii="宋体" w:hAnsi="宋体" w:eastAsia="宋体" w:cs="宋体"/>
                <w:sz w:val="24"/>
                <w:szCs w:val="24"/>
              </w:rPr>
            </w:r>
            <w:r/>
          </w:p>
        </w:tc>
      </w:tr>
      <w:tr>
        <w:trPr>
          <w:trHeight w:val="330"/>
        </w:trPr>
        <w:tc>
          <w:tcPr>
            <w:tcW w:w="22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83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接地检查</w:t>
            </w: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确保各个机柜和用电器接地良好，尤其注意防雷保护器接地</w:t>
            </w:r>
            <w:r>
              <w:rPr>
                <w:rFonts w:hint="eastAsia" w:ascii="宋体" w:hAnsi="宋体" w:eastAsia="宋体" w:cs="宋体"/>
                <w:sz w:val="24"/>
                <w:szCs w:val="24"/>
              </w:rPr>
            </w:r>
            <w:r/>
          </w:p>
        </w:tc>
      </w:tr>
      <w:tr>
        <w:trPr>
          <w:trHeight w:val="330"/>
        </w:trPr>
        <w:tc>
          <w:tcPr>
            <w:tcW w:w="22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83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温湿度仪检查</w:t>
            </w: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检查温湿度仪是否显示合理，保证温度探头反应灵敏</w:t>
            </w:r>
            <w:r>
              <w:rPr>
                <w:rFonts w:hint="eastAsia" w:ascii="宋体" w:hAnsi="宋体" w:eastAsia="宋体" w:cs="宋体"/>
                <w:sz w:val="24"/>
                <w:szCs w:val="24"/>
              </w:rPr>
            </w:r>
            <w:r/>
          </w:p>
        </w:tc>
      </w:tr>
      <w:tr>
        <w:trPr>
          <w:trHeight w:val="285"/>
        </w:trPr>
        <w:tc>
          <w:tcPr>
            <w:tcW w:w="22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836"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稳压电源清扫</w:t>
            </w: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断电情况下清扫稳压电源内的灰尘</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检查碳刷是否正常，磨损较多情况必须更换</w:t>
            </w:r>
            <w:r>
              <w:rPr>
                <w:rFonts w:hint="eastAsia" w:ascii="宋体" w:hAnsi="宋体" w:eastAsia="宋体" w:cs="宋体"/>
                <w:sz w:val="24"/>
                <w:szCs w:val="24"/>
              </w:rPr>
            </w:r>
            <w:r/>
          </w:p>
        </w:tc>
      </w:tr>
      <w:tr>
        <w:trPr>
          <w:trHeight w:val="300"/>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上电测试，确保稳压源工作正常</w:t>
            </w:r>
            <w:r>
              <w:rPr>
                <w:rFonts w:hint="eastAsia" w:ascii="宋体" w:hAnsi="宋体" w:eastAsia="宋体" w:cs="宋体"/>
                <w:sz w:val="24"/>
                <w:szCs w:val="24"/>
              </w:rPr>
            </w:r>
            <w:r/>
          </w:p>
        </w:tc>
      </w:tr>
      <w:tr>
        <w:trPr>
          <w:trHeight w:val="315"/>
        </w:trPr>
        <w:tc>
          <w:tcPr>
            <w:tcW w:w="22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836"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UPS检查清扫</w:t>
            </w: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断电情况下清扫UPS各个散热孔上的灰尘</w:t>
            </w:r>
            <w:r>
              <w:rPr>
                <w:rFonts w:hint="eastAsia" w:ascii="宋体" w:hAnsi="宋体" w:eastAsia="宋体" w:cs="宋体"/>
                <w:sz w:val="24"/>
                <w:szCs w:val="24"/>
              </w:rPr>
            </w:r>
            <w:r/>
          </w:p>
        </w:tc>
      </w:tr>
      <w:tr>
        <w:trPr>
          <w:trHeight w:val="330"/>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检查确保UPS充放电正常</w:t>
            </w:r>
            <w:r>
              <w:rPr>
                <w:rFonts w:hint="eastAsia" w:ascii="宋体" w:hAnsi="宋体" w:eastAsia="宋体" w:cs="宋体"/>
                <w:sz w:val="24"/>
                <w:szCs w:val="24"/>
              </w:rPr>
            </w:r>
            <w:r/>
          </w:p>
        </w:tc>
      </w:tr>
      <w:tr>
        <w:trPr>
          <w:trHeight w:val="315"/>
        </w:trPr>
        <w:tc>
          <w:tcPr>
            <w:tcW w:w="22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836"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UPS电池箱清扫</w:t>
            </w: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做好绝缘措施情况下清扫UPS电池箱内的灰尘</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确保箱内各个电池联线接触良好牢固</w:t>
            </w:r>
            <w:r>
              <w:rPr>
                <w:rFonts w:hint="eastAsia" w:ascii="宋体" w:hAnsi="宋体" w:eastAsia="宋体" w:cs="宋体"/>
                <w:sz w:val="24"/>
                <w:szCs w:val="24"/>
              </w:rPr>
            </w:r>
            <w:r/>
          </w:p>
        </w:tc>
      </w:tr>
      <w:tr>
        <w:trPr>
          <w:trHeight w:val="300"/>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确保各个电池无漏液，外观正常</w:t>
            </w:r>
            <w:r>
              <w:rPr>
                <w:rFonts w:hint="eastAsia" w:ascii="宋体" w:hAnsi="宋体" w:eastAsia="宋体" w:cs="宋体"/>
                <w:sz w:val="24"/>
                <w:szCs w:val="24"/>
              </w:rPr>
            </w:r>
            <w:r/>
          </w:p>
        </w:tc>
      </w:tr>
      <w:tr>
        <w:trPr>
          <w:trHeight w:val="285"/>
        </w:trPr>
        <w:tc>
          <w:tcPr>
            <w:tcW w:w="22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836"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机柜台面清扫及检查</w:t>
            </w: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检查机柜台面及玻璃是否清洁</w:t>
            </w:r>
            <w:r>
              <w:rPr>
                <w:rFonts w:hint="eastAsia" w:ascii="宋体" w:hAnsi="宋体" w:eastAsia="宋体" w:cs="宋体"/>
                <w:sz w:val="24"/>
                <w:szCs w:val="24"/>
              </w:rPr>
            </w:r>
            <w:r/>
          </w:p>
        </w:tc>
      </w:tr>
      <w:tr>
        <w:trPr>
          <w:trHeight w:val="330"/>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检查机柜各门是否关于完好</w:t>
            </w:r>
            <w:r>
              <w:rPr>
                <w:rFonts w:hint="eastAsia" w:ascii="宋体" w:hAnsi="宋体" w:eastAsia="宋体" w:cs="宋体"/>
                <w:sz w:val="24"/>
                <w:szCs w:val="24"/>
              </w:rPr>
            </w:r>
            <w:r/>
          </w:p>
        </w:tc>
      </w:tr>
      <w:tr>
        <w:trPr>
          <w:trHeight w:val="285"/>
        </w:trPr>
        <w:tc>
          <w:tcPr>
            <w:tcW w:w="22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836"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实验区清扫</w:t>
            </w:r>
            <w:r>
              <w:rPr>
                <w:rFonts w:hint="eastAsia" w:ascii="宋体" w:hAnsi="宋体" w:eastAsia="宋体" w:cs="宋体"/>
                <w:sz w:val="24"/>
                <w:szCs w:val="24"/>
              </w:rPr>
            </w:r>
            <w:r/>
          </w:p>
        </w:tc>
        <w:tc>
          <w:tcPr>
            <w:tcW w:w="100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1次/周，确保室</w:t>
            </w:r>
            <w:r>
              <w:rPr>
                <w:rFonts w:hint="eastAsia" w:ascii="宋体" w:hAnsi="宋体" w:eastAsia="宋体" w:cs="宋体"/>
                <w:sz w:val="24"/>
                <w:szCs w:val="24"/>
              </w:rPr>
            </w:r>
            <w:r/>
          </w:p>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内整齐清洁</w:t>
            </w: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1）保持实验区台面清洁</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2）保持仪器设备摆放征集</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3）按要求存储试剂</w:t>
            </w:r>
            <w:r>
              <w:rPr>
                <w:rFonts w:hint="eastAsia" w:ascii="宋体" w:hAnsi="宋体" w:eastAsia="宋体" w:cs="宋体"/>
                <w:sz w:val="24"/>
                <w:szCs w:val="24"/>
              </w:rPr>
            </w:r>
            <w:r/>
          </w:p>
        </w:tc>
      </w:tr>
      <w:tr>
        <w:trPr>
          <w:trHeight w:val="330"/>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4）按要求处置废液</w:t>
            </w:r>
            <w:r>
              <w:rPr>
                <w:rFonts w:hint="eastAsia" w:ascii="宋体" w:hAnsi="宋体" w:eastAsia="宋体" w:cs="宋体"/>
                <w:sz w:val="24"/>
                <w:szCs w:val="24"/>
              </w:rPr>
            </w:r>
            <w:r/>
          </w:p>
        </w:tc>
      </w:tr>
      <w:tr>
        <w:trPr>
          <w:trHeight w:val="201"/>
        </w:trPr>
        <w:tc>
          <w:tcPr>
            <w:tcW w:w="22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W w:w="836"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高锰酸盐指数分析仪维护</w:t>
            </w:r>
            <w:r>
              <w:rPr>
                <w:rFonts w:hint="eastAsia" w:ascii="宋体" w:hAnsi="宋体" w:eastAsia="宋体" w:cs="宋体"/>
                <w:sz w:val="24"/>
                <w:szCs w:val="24"/>
              </w:rPr>
            </w:r>
            <w:r/>
          </w:p>
        </w:tc>
        <w:tc>
          <w:tcPr>
            <w:tcW w:w="100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1次/周，确保监测仪器所需试剂充足，管路、阀门处于正常状态，仪器电极无沾污，运行稳定，比对数据合格</w:t>
            </w: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1）检查数据传输和报警模块是否正常</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2）确保冷却水供应正常</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3）清除水浴锅内水垢，疏通管道</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4）确保各个阀门正常</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5）检查并更换老化的输送硫酸软管</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6）添加参比电极电解液</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7）清除ORP电极上污垢</w:t>
            </w:r>
            <w:r>
              <w:rPr>
                <w:rFonts w:hint="eastAsia" w:ascii="宋体" w:hAnsi="宋体" w:eastAsia="宋体" w:cs="宋体"/>
                <w:sz w:val="24"/>
                <w:szCs w:val="24"/>
              </w:rPr>
            </w:r>
            <w:r/>
          </w:p>
        </w:tc>
      </w:tr>
      <w:tr>
        <w:trPr>
          <w:trHeight w:val="330"/>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8）检查并更换老化的ORP电极</w:t>
            </w:r>
            <w:r>
              <w:rPr>
                <w:rFonts w:hint="eastAsia" w:ascii="宋体" w:hAnsi="宋体" w:eastAsia="宋体" w:cs="宋体"/>
                <w:sz w:val="24"/>
                <w:szCs w:val="24"/>
              </w:rPr>
            </w:r>
            <w:r/>
          </w:p>
        </w:tc>
      </w:tr>
      <w:tr>
        <w:trPr>
          <w:trHeight w:val="315"/>
        </w:trPr>
        <w:tc>
          <w:tcPr>
            <w:tcW w:w="22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836"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氨氮分析仪维护</w:t>
            </w: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1）检查氨氮分析仪加热模块是否正常，是否维持在40℃</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2）检查气敏膜，添加电解液</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3）检查并更换老化的氨氮管路系统</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4）检查并更换老化的氨氮蠕动泵管</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5）检查并更换老化的加热迂回管路</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6）检查并更换老化的电极</w:t>
            </w:r>
            <w:r>
              <w:rPr>
                <w:rFonts w:hint="eastAsia" w:ascii="宋体" w:hAnsi="宋体" w:eastAsia="宋体" w:cs="宋体"/>
                <w:sz w:val="24"/>
                <w:szCs w:val="24"/>
              </w:rPr>
            </w:r>
            <w:r/>
          </w:p>
        </w:tc>
      </w:tr>
      <w:tr>
        <w:trPr>
          <w:trHeight w:val="330"/>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7）修正液位压力传感器参数</w:t>
            </w:r>
            <w:r>
              <w:rPr>
                <w:rFonts w:hint="eastAsia" w:ascii="宋体" w:hAnsi="宋体" w:eastAsia="宋体" w:cs="宋体"/>
                <w:sz w:val="24"/>
                <w:szCs w:val="24"/>
              </w:rPr>
            </w:r>
            <w:r/>
          </w:p>
        </w:tc>
      </w:tr>
      <w:tr>
        <w:trPr>
          <w:trHeight w:val="31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2）确保冷却水供应正常</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3）保证氮气的正常供应</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4）确保各个阀门正常</w:t>
            </w:r>
            <w:r>
              <w:rPr>
                <w:rFonts w:hint="eastAsia" w:ascii="宋体" w:hAnsi="宋体" w:eastAsia="宋体" w:cs="宋体"/>
                <w:sz w:val="24"/>
                <w:szCs w:val="24"/>
              </w:rPr>
            </w:r>
            <w:r/>
          </w:p>
        </w:tc>
      </w:tr>
      <w:tr>
        <w:trPr>
          <w:trHeight w:val="31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5）检查燃烧器</w:t>
            </w:r>
            <w:r>
              <w:rPr>
                <w:rFonts w:hint="eastAsia" w:ascii="宋体" w:hAnsi="宋体" w:eastAsia="宋体" w:cs="宋体"/>
                <w:sz w:val="24"/>
                <w:szCs w:val="24"/>
              </w:rPr>
            </w:r>
            <w:r/>
          </w:p>
        </w:tc>
      </w:tr>
      <w:tr>
        <w:trPr>
          <w:trHeight w:val="315"/>
        </w:trPr>
        <w:tc>
          <w:tcPr>
            <w:tcW w:w="22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836"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五参数分析仪</w:t>
            </w: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1）检查数据传输和报警模块是否正常</w:t>
            </w:r>
            <w:r>
              <w:rPr>
                <w:rFonts w:hint="eastAsia" w:ascii="宋体" w:hAnsi="宋体" w:eastAsia="宋体" w:cs="宋体"/>
                <w:sz w:val="24"/>
                <w:szCs w:val="24"/>
              </w:rPr>
            </w:r>
            <w:r/>
          </w:p>
        </w:tc>
      </w:tr>
      <w:tr>
        <w:trPr>
          <w:trHeight w:val="31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2）检查电极是否被泥沙和藻类沾污</w:t>
            </w:r>
            <w:r>
              <w:rPr>
                <w:rFonts w:hint="eastAsia" w:ascii="宋体" w:hAnsi="宋体" w:eastAsia="宋体" w:cs="宋体"/>
                <w:sz w:val="24"/>
                <w:szCs w:val="24"/>
              </w:rPr>
            </w:r>
            <w:r/>
          </w:p>
        </w:tc>
      </w:tr>
      <w:tr>
        <w:trPr>
          <w:trHeight w:val="31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3）清洗电极更换电极液</w:t>
            </w:r>
            <w:r>
              <w:rPr>
                <w:rFonts w:hint="eastAsia" w:ascii="宋体" w:hAnsi="宋体" w:eastAsia="宋体" w:cs="宋体"/>
                <w:sz w:val="24"/>
                <w:szCs w:val="24"/>
              </w:rPr>
            </w:r>
            <w:r/>
          </w:p>
        </w:tc>
      </w:tr>
      <w:tr>
        <w:trPr>
          <w:trHeight w:val="31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4）检查并更换老化的电极</w:t>
            </w:r>
            <w:r>
              <w:rPr>
                <w:rFonts w:hint="eastAsia" w:ascii="宋体" w:hAnsi="宋体" w:eastAsia="宋体" w:cs="宋体"/>
                <w:sz w:val="24"/>
                <w:szCs w:val="24"/>
              </w:rPr>
            </w:r>
            <w:r/>
          </w:p>
        </w:tc>
      </w:tr>
      <w:tr>
        <w:trPr>
          <w:trHeight w:val="330"/>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5）确保清洗水供应正常</w:t>
            </w:r>
            <w:r>
              <w:rPr>
                <w:rFonts w:hint="eastAsia" w:ascii="宋体" w:hAnsi="宋体" w:eastAsia="宋体" w:cs="宋体"/>
                <w:sz w:val="24"/>
                <w:szCs w:val="24"/>
              </w:rPr>
            </w:r>
            <w:r/>
          </w:p>
        </w:tc>
      </w:tr>
      <w:tr>
        <w:trPr>
          <w:trHeight w:val="285"/>
        </w:trPr>
        <w:tc>
          <w:tcPr>
            <w:tcW w:w="22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836"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采样器维护</w:t>
            </w:r>
            <w:r>
              <w:rPr>
                <w:rFonts w:hint="eastAsia" w:ascii="宋体" w:hAnsi="宋体" w:eastAsia="宋体" w:cs="宋体"/>
                <w:sz w:val="24"/>
                <w:szCs w:val="24"/>
              </w:rPr>
            </w:r>
            <w:r/>
          </w:p>
        </w:tc>
        <w:tc>
          <w:tcPr>
            <w:tcW w:w="100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1次/周，保证采</w:t>
            </w:r>
            <w:r>
              <w:rPr>
                <w:rFonts w:hint="eastAsia" w:ascii="宋体" w:hAnsi="宋体" w:eastAsia="宋体" w:cs="宋体"/>
                <w:sz w:val="24"/>
                <w:szCs w:val="24"/>
              </w:rPr>
            </w:r>
            <w:r/>
          </w:p>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样瓶清洁，</w:t>
            </w: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1）检查并更换老化的蠕动泵软管</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2）检查并更换老化的分配臂软管</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3）检查并更换老化的采样管</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4）清洗采样切换阀</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5）重新调整采样参数</w:t>
            </w:r>
            <w:r>
              <w:rPr>
                <w:rFonts w:hint="eastAsia" w:ascii="宋体" w:hAnsi="宋体" w:eastAsia="宋体" w:cs="宋体"/>
                <w:sz w:val="24"/>
                <w:szCs w:val="24"/>
              </w:rPr>
            </w:r>
            <w:r/>
          </w:p>
        </w:tc>
      </w:tr>
      <w:tr>
        <w:trPr>
          <w:trHeight w:val="285"/>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6）检查样品储藏室温度</w:t>
            </w:r>
            <w:r>
              <w:rPr>
                <w:rFonts w:hint="eastAsia" w:ascii="宋体" w:hAnsi="宋体" w:eastAsia="宋体" w:cs="宋体"/>
                <w:sz w:val="24"/>
                <w:szCs w:val="24"/>
              </w:rPr>
            </w:r>
            <w:r/>
          </w:p>
        </w:tc>
      </w:tr>
      <w:tr>
        <w:trPr>
          <w:trHeight w:val="330"/>
        </w:trPr>
        <w:tc>
          <w:tcPr>
            <w:tcW w:w="22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83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0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7）清洗样品储藏室</w:t>
            </w:r>
            <w:r>
              <w:rPr>
                <w:rFonts w:hint="eastAsia" w:ascii="宋体" w:hAnsi="宋体" w:eastAsia="宋体" w:cs="宋体"/>
                <w:sz w:val="24"/>
                <w:szCs w:val="24"/>
              </w:rPr>
            </w:r>
            <w:r/>
          </w:p>
        </w:tc>
      </w:tr>
      <w:tr>
        <w:trPr>
          <w:trHeight w:val="330"/>
        </w:trPr>
        <w:tc>
          <w:tcPr>
            <w:tcW w:w="22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eastAsia="宋体" w:cs="宋体"/>
                <w:sz w:val="24"/>
                <w:szCs w:val="24"/>
              </w:rPr>
            </w:r>
            <w:r/>
          </w:p>
        </w:tc>
        <w:tc>
          <w:tcPr>
            <w:tcW w:w="83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数据上报</w:t>
            </w:r>
            <w:r>
              <w:rPr>
                <w:rFonts w:hint="eastAsia" w:ascii="宋体" w:hAnsi="宋体" w:eastAsia="宋体" w:cs="宋体"/>
                <w:sz w:val="24"/>
                <w:szCs w:val="24"/>
              </w:rPr>
            </w:r>
            <w:r/>
          </w:p>
        </w:tc>
        <w:tc>
          <w:tcPr>
            <w:tcW w:w="100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1次/月</w:t>
            </w:r>
            <w:r>
              <w:rPr>
                <w:rFonts w:hint="eastAsia" w:ascii="宋体" w:hAnsi="宋体" w:eastAsia="宋体" w:cs="宋体"/>
                <w:sz w:val="24"/>
                <w:szCs w:val="24"/>
              </w:rPr>
            </w:r>
            <w:r/>
          </w:p>
        </w:tc>
        <w:tc>
          <w:tcPr>
            <w:tcW w:w="293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每月1日完成对上月水质自动监测数据（含月均值等）审核上报，同时上报上月水站运维情况报表，遇法定节假日顺延至下一工作日</w:t>
            </w:r>
            <w:r>
              <w:rPr>
                <w:rFonts w:hint="eastAsia" w:ascii="宋体" w:hAnsi="宋体" w:eastAsia="宋体" w:cs="宋体"/>
                <w:sz w:val="24"/>
                <w:szCs w:val="24"/>
              </w:rPr>
            </w:r>
            <w:r/>
          </w:p>
        </w:tc>
      </w:tr>
    </w:tbl>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（b）每月工作内容</w:t>
      </w:r>
      <w:r>
        <w:rPr>
          <w:rFonts w:hint="eastAsia" w:ascii="宋体" w:hAnsi="宋体" w:eastAsia="宋体" w:cs="宋体"/>
          <w:sz w:val="24"/>
          <w:szCs w:val="24"/>
        </w:rPr>
      </w:r>
      <w:r/>
    </w:p>
    <w:tbl>
      <w:tblPr>
        <w:tblW w:w="935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3"/>
        <w:gridCol w:w="1534"/>
        <w:gridCol w:w="1843"/>
        <w:gridCol w:w="5386"/>
      </w:tblGrid>
      <w:tr>
        <w:trPr>
          <w:trHeight w:val="740"/>
        </w:trPr>
        <w:tc>
          <w:tcPr>
            <w:tcW w:w="593"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53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维护内容</w:t>
            </w:r>
            <w:r>
              <w:rPr>
                <w:rFonts w:hint="eastAsia" w:ascii="宋体" w:hAnsi="宋体" w:eastAsia="宋体" w:cs="宋体"/>
                <w:sz w:val="24"/>
                <w:szCs w:val="24"/>
              </w:rPr>
            </w:r>
            <w:r/>
          </w:p>
        </w:tc>
        <w:tc>
          <w:tcPr>
            <w:tcW w:w="1843"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维护周期及目标</w:t>
            </w:r>
            <w:r>
              <w:rPr>
                <w:rFonts w:hint="eastAsia" w:ascii="宋体" w:hAnsi="宋体" w:eastAsia="宋体" w:cs="宋体"/>
                <w:sz w:val="24"/>
                <w:szCs w:val="24"/>
              </w:rPr>
            </w:r>
            <w:r/>
          </w:p>
        </w:tc>
        <w:tc>
          <w:tcPr>
            <w:tcW w:w="538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维护要求</w:t>
            </w:r>
            <w:r>
              <w:rPr>
                <w:rFonts w:hint="eastAsia" w:ascii="宋体" w:hAnsi="宋体" w:eastAsia="宋体" w:cs="宋体"/>
                <w:sz w:val="24"/>
                <w:szCs w:val="24"/>
              </w:rPr>
            </w:r>
            <w:r/>
          </w:p>
        </w:tc>
      </w:tr>
      <w:tr>
        <w:trPr>
          <w:trHeight w:val="285"/>
        </w:trPr>
        <w:tc>
          <w:tcPr>
            <w:tcW w:w="593"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53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室外取水管路清洗清淤</w:t>
            </w:r>
            <w:r>
              <w:rPr>
                <w:rFonts w:hint="eastAsia" w:ascii="宋体" w:hAnsi="宋体" w:eastAsia="宋体" w:cs="宋体"/>
                <w:sz w:val="24"/>
                <w:szCs w:val="24"/>
              </w:rPr>
            </w:r>
            <w:r/>
          </w:p>
        </w:tc>
        <w:tc>
          <w:tcPr>
            <w:tcW w:w="1843"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1次/月，确保管路无泥沙附着</w:t>
            </w:r>
            <w:r>
              <w:rPr>
                <w:rFonts w:hint="eastAsia" w:ascii="宋体" w:hAnsi="宋体" w:eastAsia="宋体" w:cs="宋体"/>
                <w:sz w:val="24"/>
                <w:szCs w:val="24"/>
              </w:rPr>
            </w:r>
            <w:r/>
          </w:p>
        </w:tc>
        <w:tc>
          <w:tcPr>
            <w:tcW w:w="538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将室外取水管路淤泥吹出。至少三次空气吹洗，以便达到良好清淤效果。</w:t>
            </w:r>
            <w:r>
              <w:rPr>
                <w:rFonts w:hint="eastAsia" w:ascii="宋体" w:hAnsi="宋体" w:eastAsia="宋体" w:cs="宋体"/>
                <w:sz w:val="24"/>
                <w:szCs w:val="24"/>
              </w:rPr>
            </w:r>
            <w:r/>
          </w:p>
        </w:tc>
      </w:tr>
      <w:tr>
        <w:trPr>
          <w:trHeight w:val="600"/>
        </w:trPr>
        <w:tc>
          <w:tcPr>
            <w:tcW w:w="59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3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8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采用3%稀盐酸，对取水管路进行清洗。清洗完毕后15分钟手动运行一次采水流程，以便将管路中残余药剂清洗掉。</w:t>
            </w:r>
            <w:r>
              <w:rPr>
                <w:rFonts w:hint="eastAsia" w:ascii="宋体" w:hAnsi="宋体" w:eastAsia="宋体" w:cs="宋体"/>
                <w:sz w:val="24"/>
                <w:szCs w:val="24"/>
              </w:rPr>
            </w:r>
            <w:r/>
          </w:p>
        </w:tc>
      </w:tr>
      <w:tr>
        <w:trPr>
          <w:trHeight w:val="300"/>
        </w:trPr>
        <w:tc>
          <w:tcPr>
            <w:tcW w:w="59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3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8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恢复取水管路原状。</w:t>
            </w:r>
            <w:r>
              <w:rPr>
                <w:rFonts w:hint="eastAsia" w:ascii="宋体" w:hAnsi="宋体" w:eastAsia="宋体" w:cs="宋体"/>
                <w:sz w:val="24"/>
                <w:szCs w:val="24"/>
              </w:rPr>
            </w:r>
            <w:r/>
          </w:p>
        </w:tc>
      </w:tr>
      <w:tr>
        <w:trPr>
          <w:trHeight w:val="285"/>
        </w:trPr>
        <w:tc>
          <w:tcPr>
            <w:tcW w:w="593"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53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室内管路清洗</w:t>
            </w:r>
            <w:r>
              <w:rPr>
                <w:rFonts w:hint="eastAsia" w:ascii="宋体" w:hAnsi="宋体" w:eastAsia="宋体" w:cs="宋体"/>
                <w:sz w:val="24"/>
                <w:szCs w:val="24"/>
              </w:rPr>
            </w:r>
            <w:r/>
          </w:p>
        </w:tc>
        <w:tc>
          <w:tcPr>
            <w:tcW w:w="1843"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2次/月，确保管路透明，无泥沙藻类附着</w:t>
            </w:r>
            <w:r>
              <w:rPr>
                <w:rFonts w:hint="eastAsia" w:ascii="宋体" w:hAnsi="宋体" w:eastAsia="宋体" w:cs="宋体"/>
                <w:sz w:val="24"/>
                <w:szCs w:val="24"/>
              </w:rPr>
            </w:r>
            <w:r/>
          </w:p>
        </w:tc>
        <w:tc>
          <w:tcPr>
            <w:tcW w:w="538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手动拆卸阀门、弯头、过滤网和样水杯等部件，用试管刷清洗，清洗后原样装回。</w:t>
            </w:r>
            <w:r>
              <w:rPr>
                <w:rFonts w:hint="eastAsia" w:ascii="宋体" w:hAnsi="宋体" w:eastAsia="宋体" w:cs="宋体"/>
                <w:sz w:val="24"/>
                <w:szCs w:val="24"/>
              </w:rPr>
            </w:r>
            <w:r/>
          </w:p>
        </w:tc>
      </w:tr>
      <w:tr>
        <w:trPr>
          <w:trHeight w:val="300"/>
        </w:trPr>
        <w:tc>
          <w:tcPr>
            <w:tcW w:w="59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3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8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检查蠕动泵进水塑胶软管脏污情况，必要的情况更换。</w:t>
            </w:r>
            <w:r>
              <w:rPr>
                <w:rFonts w:hint="eastAsia" w:ascii="宋体" w:hAnsi="宋体" w:eastAsia="宋体" w:cs="宋体"/>
                <w:sz w:val="24"/>
                <w:szCs w:val="24"/>
              </w:rPr>
            </w:r>
            <w:r/>
          </w:p>
        </w:tc>
      </w:tr>
      <w:tr>
        <w:trPr>
          <w:trHeight w:val="315"/>
        </w:trPr>
        <w:tc>
          <w:tcPr>
            <w:tcW w:w="593"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53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清洗液位计</w:t>
            </w:r>
            <w:r>
              <w:rPr>
                <w:rFonts w:hint="eastAsia" w:ascii="宋体" w:hAnsi="宋体" w:eastAsia="宋体" w:cs="宋体"/>
                <w:sz w:val="24"/>
                <w:szCs w:val="24"/>
              </w:rPr>
            </w:r>
            <w:r/>
          </w:p>
        </w:tc>
        <w:tc>
          <w:tcPr>
            <w:tcW w:w="1843"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1次/月，确保液位计工作正常</w:t>
            </w:r>
            <w:r>
              <w:rPr>
                <w:rFonts w:hint="eastAsia" w:ascii="宋体" w:hAnsi="宋体" w:eastAsia="宋体" w:cs="宋体"/>
                <w:sz w:val="24"/>
                <w:szCs w:val="24"/>
              </w:rPr>
            </w:r>
            <w:r/>
          </w:p>
        </w:tc>
        <w:tc>
          <w:tcPr>
            <w:tcW w:w="538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将液位计拆下，用3%盐酸擦洗浮球和导杆，清除表面钙化物和污物。</w:t>
            </w:r>
            <w:r>
              <w:rPr>
                <w:rFonts w:hint="eastAsia" w:ascii="宋体" w:hAnsi="宋体" w:eastAsia="宋体" w:cs="宋体"/>
                <w:sz w:val="24"/>
                <w:szCs w:val="24"/>
              </w:rPr>
            </w:r>
            <w:r/>
          </w:p>
        </w:tc>
      </w:tr>
      <w:tr>
        <w:trPr>
          <w:trHeight w:val="315"/>
        </w:trPr>
        <w:tc>
          <w:tcPr>
            <w:tcW w:w="59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3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8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测量浮球导通电阻，导通电阻必须小于20欧姆，且反应灵敏。</w:t>
            </w:r>
            <w:r>
              <w:rPr>
                <w:rFonts w:hint="eastAsia" w:ascii="宋体" w:hAnsi="宋体" w:eastAsia="宋体" w:cs="宋体"/>
                <w:sz w:val="24"/>
                <w:szCs w:val="24"/>
              </w:rPr>
            </w:r>
            <w:r/>
          </w:p>
        </w:tc>
      </w:tr>
      <w:tr>
        <w:trPr>
          <w:trHeight w:val="285"/>
        </w:trPr>
        <w:tc>
          <w:tcPr>
            <w:tcW w:w="59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3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8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原样装回液位计。</w:t>
            </w:r>
            <w:r>
              <w:rPr>
                <w:rFonts w:hint="eastAsia" w:ascii="宋体" w:hAnsi="宋体" w:eastAsia="宋体" w:cs="宋体"/>
                <w:sz w:val="24"/>
                <w:szCs w:val="24"/>
              </w:rPr>
            </w:r>
            <w:r/>
          </w:p>
        </w:tc>
      </w:tr>
      <w:tr>
        <w:trPr>
          <w:trHeight w:val="300"/>
        </w:trPr>
        <w:tc>
          <w:tcPr>
            <w:tcW w:w="59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3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8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必要的情况更换新液位计。</w:t>
            </w:r>
            <w:r>
              <w:rPr>
                <w:rFonts w:hint="eastAsia" w:ascii="宋体" w:hAnsi="宋体" w:eastAsia="宋体" w:cs="宋体"/>
                <w:sz w:val="24"/>
                <w:szCs w:val="24"/>
              </w:rPr>
            </w:r>
            <w:r/>
          </w:p>
        </w:tc>
      </w:tr>
      <w:tr>
        <w:trPr>
          <w:trHeight w:val="600"/>
        </w:trPr>
        <w:tc>
          <w:tcPr>
            <w:tcW w:w="593"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53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清洗样水杯喷头</w:t>
            </w:r>
            <w:r>
              <w:rPr>
                <w:rFonts w:hint="eastAsia" w:ascii="宋体" w:hAnsi="宋体" w:eastAsia="宋体" w:cs="宋体"/>
                <w:sz w:val="24"/>
                <w:szCs w:val="24"/>
              </w:rPr>
            </w:r>
            <w:r/>
          </w:p>
        </w:tc>
        <w:tc>
          <w:tcPr>
            <w:tcW w:w="1843"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1次/月，确保喷头工作正常</w:t>
            </w:r>
            <w:r>
              <w:rPr>
                <w:rFonts w:hint="eastAsia" w:ascii="宋体" w:hAnsi="宋体" w:eastAsia="宋体" w:cs="宋体"/>
                <w:sz w:val="24"/>
                <w:szCs w:val="24"/>
              </w:rPr>
            </w:r>
            <w:r/>
          </w:p>
        </w:tc>
        <w:tc>
          <w:tcPr>
            <w:tcW w:w="538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将样水杯清洗喷头拆下，检查是否有锈蚀状况，轻微锈蚀可采用3%稀盐酸浸泡方法清除锈蚀，严重锈蚀状况直接换新。</w:t>
            </w:r>
            <w:r>
              <w:rPr>
                <w:rFonts w:hint="eastAsia" w:ascii="宋体" w:hAnsi="宋体" w:eastAsia="宋体" w:cs="宋体"/>
                <w:sz w:val="24"/>
                <w:szCs w:val="24"/>
              </w:rPr>
            </w:r>
            <w:r/>
          </w:p>
        </w:tc>
      </w:tr>
      <w:tr>
        <w:trPr>
          <w:trHeight w:val="300"/>
        </w:trPr>
        <w:tc>
          <w:tcPr>
            <w:tcW w:w="59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3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8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将喷头原样装回后注意调节喷头配水强度。</w:t>
            </w:r>
            <w:r>
              <w:rPr>
                <w:rFonts w:hint="eastAsia" w:ascii="宋体" w:hAnsi="宋体" w:eastAsia="宋体" w:cs="宋体"/>
                <w:sz w:val="24"/>
                <w:szCs w:val="24"/>
              </w:rPr>
            </w:r>
            <w:r/>
          </w:p>
        </w:tc>
      </w:tr>
      <w:tr>
        <w:trPr>
          <w:trHeight w:val="285"/>
        </w:trPr>
        <w:tc>
          <w:tcPr>
            <w:tcW w:w="593"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53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蠕动泵负载检查</w:t>
            </w:r>
            <w:r>
              <w:rPr>
                <w:rFonts w:hint="eastAsia" w:ascii="宋体" w:hAnsi="宋体" w:eastAsia="宋体" w:cs="宋体"/>
                <w:sz w:val="24"/>
                <w:szCs w:val="24"/>
              </w:rPr>
            </w:r>
            <w:r/>
          </w:p>
        </w:tc>
        <w:tc>
          <w:tcPr>
            <w:tcW w:w="1843"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1次/月，确保蠕动泵无堵塞和</w:t>
            </w:r>
            <w:r>
              <w:rPr>
                <w:rFonts w:hint="eastAsia" w:ascii="宋体" w:hAnsi="宋体" w:eastAsia="宋体" w:cs="宋体"/>
                <w:sz w:val="24"/>
                <w:szCs w:val="24"/>
              </w:rPr>
            </w:r>
            <w:r/>
          </w:p>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渗漏，计量准确</w:t>
            </w:r>
            <w:r>
              <w:rPr>
                <w:rFonts w:hint="eastAsia" w:ascii="宋体" w:hAnsi="宋体" w:eastAsia="宋体" w:cs="宋体"/>
                <w:sz w:val="24"/>
                <w:szCs w:val="24"/>
              </w:rPr>
            </w:r>
            <w:r/>
          </w:p>
        </w:tc>
        <w:tc>
          <w:tcPr>
            <w:tcW w:w="538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按蠕动泵说明书要求，检查输出扭矩。</w:t>
            </w:r>
            <w:r>
              <w:rPr>
                <w:rFonts w:hint="eastAsia" w:ascii="宋体" w:hAnsi="宋体" w:eastAsia="宋体" w:cs="宋体"/>
                <w:sz w:val="24"/>
                <w:szCs w:val="24"/>
              </w:rPr>
            </w:r>
            <w:r/>
          </w:p>
        </w:tc>
      </w:tr>
      <w:tr>
        <w:trPr>
          <w:trHeight w:val="300"/>
        </w:trPr>
        <w:tc>
          <w:tcPr>
            <w:tcW w:w="59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3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8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若不符合说明书规定要求，及时更换泵管</w:t>
            </w:r>
            <w:r>
              <w:rPr>
                <w:rFonts w:hint="eastAsia" w:ascii="宋体" w:hAnsi="宋体" w:eastAsia="宋体" w:cs="宋体"/>
                <w:sz w:val="24"/>
                <w:szCs w:val="24"/>
              </w:rPr>
            </w:r>
            <w:r/>
          </w:p>
        </w:tc>
      </w:tr>
      <w:tr>
        <w:trPr>
          <w:trHeight w:val="285"/>
        </w:trPr>
        <w:tc>
          <w:tcPr>
            <w:tcW w:w="593"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53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液位观察管清洗</w:t>
            </w:r>
            <w:r>
              <w:rPr>
                <w:rFonts w:hint="eastAsia" w:ascii="宋体" w:hAnsi="宋体" w:eastAsia="宋体" w:cs="宋体"/>
                <w:sz w:val="24"/>
                <w:szCs w:val="24"/>
              </w:rPr>
            </w:r>
            <w:r/>
          </w:p>
        </w:tc>
        <w:tc>
          <w:tcPr>
            <w:tcW w:w="1843"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1次/月，确保液位观察管清洗透明</w:t>
            </w:r>
            <w:r>
              <w:rPr>
                <w:rFonts w:hint="eastAsia" w:ascii="宋体" w:hAnsi="宋体" w:eastAsia="宋体" w:cs="宋体"/>
                <w:sz w:val="24"/>
                <w:szCs w:val="24"/>
              </w:rPr>
            </w:r>
            <w:r/>
          </w:p>
        </w:tc>
        <w:tc>
          <w:tcPr>
            <w:tcW w:w="538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拆下透明管清除脏污，用试管刷清洗干净。</w:t>
            </w:r>
            <w:r>
              <w:rPr>
                <w:rFonts w:hint="eastAsia" w:ascii="宋体" w:hAnsi="宋体" w:eastAsia="宋体" w:cs="宋体"/>
                <w:sz w:val="24"/>
                <w:szCs w:val="24"/>
              </w:rPr>
            </w:r>
            <w:r/>
          </w:p>
        </w:tc>
      </w:tr>
      <w:tr>
        <w:trPr>
          <w:trHeight w:val="300"/>
        </w:trPr>
        <w:tc>
          <w:tcPr>
            <w:tcW w:w="59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3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8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拆卸部件原样装回。</w:t>
            </w:r>
            <w:r>
              <w:rPr>
                <w:rFonts w:hint="eastAsia" w:ascii="宋体" w:hAnsi="宋体" w:eastAsia="宋体" w:cs="宋体"/>
                <w:sz w:val="24"/>
                <w:szCs w:val="24"/>
              </w:rPr>
            </w:r>
            <w:r/>
          </w:p>
        </w:tc>
      </w:tr>
      <w:tr>
        <w:trPr>
          <w:trHeight w:val="300"/>
        </w:trPr>
        <w:tc>
          <w:tcPr>
            <w:tcW w:w="593"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1534"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取水系统综合测试</w:t>
            </w:r>
            <w:r>
              <w:rPr>
                <w:rFonts w:hint="eastAsia" w:ascii="宋体" w:hAnsi="宋体" w:eastAsia="宋体" w:cs="宋体"/>
                <w:sz w:val="24"/>
                <w:szCs w:val="24"/>
              </w:rPr>
            </w:r>
            <w:r/>
          </w:p>
        </w:tc>
        <w:tc>
          <w:tcPr>
            <w:tcW w:w="1843"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1次/1月，确保</w:t>
            </w:r>
            <w:r>
              <w:rPr>
                <w:rFonts w:hint="eastAsia" w:ascii="宋体" w:hAnsi="宋体" w:eastAsia="宋体" w:cs="宋体"/>
                <w:sz w:val="24"/>
                <w:szCs w:val="24"/>
              </w:rPr>
            </w:r>
            <w:r/>
          </w:p>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系统取水正常</w:t>
            </w:r>
            <w:r>
              <w:rPr>
                <w:rFonts w:hint="eastAsia" w:ascii="宋体" w:hAnsi="宋体" w:eastAsia="宋体" w:cs="宋体"/>
                <w:sz w:val="24"/>
                <w:szCs w:val="24"/>
              </w:rPr>
            </w:r>
            <w:r/>
          </w:p>
        </w:tc>
        <w:tc>
          <w:tcPr>
            <w:tcW w:w="538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完成上述测试后复原所有阀门到正确位置。</w:t>
            </w:r>
            <w:r>
              <w:rPr>
                <w:rFonts w:hint="eastAsia" w:ascii="宋体" w:hAnsi="宋体" w:eastAsia="宋体" w:cs="宋体"/>
                <w:sz w:val="24"/>
                <w:szCs w:val="24"/>
              </w:rPr>
            </w:r>
            <w:r/>
          </w:p>
        </w:tc>
      </w:tr>
      <w:tr>
        <w:trPr>
          <w:trHeight w:val="300"/>
        </w:trPr>
        <w:tc>
          <w:tcPr>
            <w:tcW w:w="59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3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8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检查各个接头是否松动，各个电动球阀接线是否完好。</w:t>
            </w:r>
            <w:r>
              <w:rPr>
                <w:rFonts w:hint="eastAsia" w:ascii="宋体" w:hAnsi="宋体" w:eastAsia="宋体" w:cs="宋体"/>
                <w:sz w:val="24"/>
                <w:szCs w:val="24"/>
              </w:rPr>
            </w:r>
            <w:r/>
          </w:p>
        </w:tc>
      </w:tr>
      <w:tr>
        <w:trPr>
          <w:trHeight w:val="300"/>
        </w:trPr>
        <w:tc>
          <w:tcPr>
            <w:tcW w:w="59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34"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8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检查无误情况下，系统复电，检查整个取水流程是否正常。</w:t>
            </w:r>
            <w:r>
              <w:rPr>
                <w:rFonts w:hint="eastAsia" w:ascii="宋体" w:hAnsi="宋体" w:eastAsia="宋体" w:cs="宋体"/>
                <w:sz w:val="24"/>
                <w:szCs w:val="24"/>
              </w:rPr>
            </w:r>
            <w:r/>
          </w:p>
        </w:tc>
      </w:tr>
      <w:tr>
        <w:trPr>
          <w:trHeight w:val="300"/>
        </w:trPr>
        <w:tc>
          <w:tcPr>
            <w:tcW w:w="593"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53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高锰酸盐指数分析仪</w:t>
            </w:r>
            <w:r>
              <w:rPr>
                <w:rFonts w:hint="eastAsia" w:ascii="宋体" w:hAnsi="宋体" w:eastAsia="宋体" w:cs="宋体"/>
                <w:sz w:val="24"/>
                <w:szCs w:val="24"/>
              </w:rPr>
            </w:r>
            <w:r/>
          </w:p>
        </w:tc>
        <w:tc>
          <w:tcPr>
            <w:tcW w:w="1843"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2次/月，更换试剂并校正，确保数据正常</w:t>
            </w:r>
            <w:r>
              <w:rPr>
                <w:rFonts w:hint="eastAsia" w:ascii="宋体" w:hAnsi="宋体" w:eastAsia="宋体" w:cs="宋体"/>
                <w:sz w:val="24"/>
                <w:szCs w:val="24"/>
              </w:rPr>
            </w:r>
            <w:r/>
          </w:p>
        </w:tc>
        <w:tc>
          <w:tcPr>
            <w:tcW w:w="538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更换标准校对液和分析试剂，一般不超过15天，夏天视情况缩短更换周期。更换试剂时要将前一批的试剂全部更换干净，而不是补充试剂。</w:t>
            </w:r>
            <w:r>
              <w:rPr>
                <w:rFonts w:hint="eastAsia" w:ascii="宋体" w:hAnsi="宋体" w:eastAsia="宋体" w:cs="宋体"/>
                <w:sz w:val="24"/>
                <w:szCs w:val="24"/>
              </w:rPr>
            </w:r>
            <w:r/>
          </w:p>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试剂更换完毕须校正仪器，确保校正数据符合仪器要求。</w:t>
            </w:r>
            <w:r>
              <w:rPr>
                <w:rFonts w:hint="eastAsia" w:ascii="宋体" w:hAnsi="宋体" w:eastAsia="宋体" w:cs="宋体"/>
                <w:sz w:val="24"/>
                <w:szCs w:val="24"/>
              </w:rPr>
            </w:r>
            <w:r/>
          </w:p>
        </w:tc>
      </w:tr>
      <w:tr>
        <w:trPr>
          <w:trHeight w:val="300"/>
        </w:trPr>
        <w:tc>
          <w:tcPr>
            <w:tcW w:w="593"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153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氨氮分析仪</w:t>
            </w:r>
            <w:r>
              <w:rPr>
                <w:rFonts w:hint="eastAsia" w:ascii="宋体" w:hAnsi="宋体" w:eastAsia="宋体" w:cs="宋体"/>
                <w:sz w:val="24"/>
                <w:szCs w:val="24"/>
              </w:rPr>
            </w:r>
            <w:r/>
          </w:p>
        </w:tc>
        <w:tc>
          <w:tcPr>
            <w:tcW w:w="1843"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1次/月，更换试剂并校正，确保</w:t>
            </w:r>
            <w:r>
              <w:rPr>
                <w:rFonts w:hint="eastAsia" w:ascii="宋体" w:hAnsi="宋体" w:eastAsia="宋体" w:cs="宋体"/>
                <w:sz w:val="24"/>
                <w:szCs w:val="24"/>
              </w:rPr>
            </w:r>
            <w:r/>
          </w:p>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数据正常</w:t>
            </w:r>
            <w:r>
              <w:rPr>
                <w:rFonts w:hint="eastAsia" w:ascii="宋体" w:hAnsi="宋体" w:eastAsia="宋体" w:cs="宋体"/>
                <w:sz w:val="24"/>
                <w:szCs w:val="24"/>
              </w:rPr>
            </w:r>
            <w:r/>
          </w:p>
        </w:tc>
        <w:tc>
          <w:tcPr>
            <w:tcW w:w="5386"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更换标准校对液和分析试剂，一般不超过30天，夏天视情况缩短更换周期。更换试剂时要将前一批的试剂全部更换干净，而不是补充试剂。</w:t>
            </w:r>
            <w:r>
              <w:rPr>
                <w:rFonts w:hint="eastAsia" w:ascii="宋体" w:hAnsi="宋体" w:eastAsia="宋体" w:cs="宋体"/>
                <w:sz w:val="24"/>
                <w:szCs w:val="24"/>
              </w:rPr>
            </w:r>
            <w:r/>
          </w:p>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试剂更换完毕须校正仪器，确保校正数据符合仪器要求。</w:t>
            </w:r>
            <w:r>
              <w:rPr>
                <w:rFonts w:hint="eastAsia" w:ascii="宋体" w:hAnsi="宋体" w:eastAsia="宋体" w:cs="宋体"/>
                <w:sz w:val="24"/>
                <w:szCs w:val="24"/>
              </w:rPr>
            </w:r>
            <w:r/>
          </w:p>
        </w:tc>
      </w:tr>
      <w:tr>
        <w:trPr>
          <w:trHeight w:val="300"/>
        </w:trPr>
        <w:tc>
          <w:tcPr>
            <w:tcW w:w="593"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53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总磷总氮分析仪</w:t>
            </w:r>
            <w:r>
              <w:rPr>
                <w:rFonts w:hint="eastAsia" w:ascii="宋体" w:hAnsi="宋体" w:eastAsia="宋体" w:cs="宋体"/>
                <w:sz w:val="24"/>
                <w:szCs w:val="24"/>
              </w:rPr>
            </w:r>
            <w:r/>
          </w:p>
        </w:tc>
        <w:tc>
          <w:tcPr>
            <w:tcW w:w="1843"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8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85"/>
        </w:trPr>
        <w:tc>
          <w:tcPr>
            <w:tcW w:w="593"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153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五参数分析仪</w:t>
            </w:r>
            <w:r>
              <w:rPr>
                <w:rFonts w:hint="eastAsia" w:ascii="宋体" w:hAnsi="宋体" w:eastAsia="宋体" w:cs="宋体"/>
                <w:sz w:val="24"/>
                <w:szCs w:val="24"/>
              </w:rPr>
            </w:r>
            <w:r/>
          </w:p>
        </w:tc>
        <w:tc>
          <w:tcPr>
            <w:tcW w:w="1843"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1次/月，校正pH和溶解氧电极，确保数据正常</w:t>
            </w:r>
            <w:r>
              <w:rPr>
                <w:rFonts w:hint="eastAsia" w:ascii="宋体" w:hAnsi="宋体" w:eastAsia="宋体" w:cs="宋体"/>
                <w:sz w:val="24"/>
                <w:szCs w:val="24"/>
              </w:rPr>
            </w:r>
            <w:r/>
          </w:p>
        </w:tc>
        <w:tc>
          <w:tcPr>
            <w:tcW w:w="538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校正pH和溶解氧电极，确保校正数据符合仪器要求。</w:t>
            </w:r>
            <w:r>
              <w:rPr>
                <w:rFonts w:hint="eastAsia" w:ascii="宋体" w:hAnsi="宋体" w:eastAsia="宋体" w:cs="宋体"/>
                <w:sz w:val="24"/>
                <w:szCs w:val="24"/>
              </w:rPr>
            </w:r>
            <w:r/>
          </w:p>
        </w:tc>
      </w:tr>
    </w:tbl>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（c）每2月一次</w:t>
      </w:r>
      <w:r>
        <w:rPr>
          <w:rFonts w:hint="eastAsia" w:ascii="宋体" w:hAnsi="宋体" w:eastAsia="宋体" w:cs="宋体"/>
          <w:sz w:val="24"/>
          <w:szCs w:val="24"/>
        </w:rPr>
      </w:r>
      <w:r/>
    </w:p>
    <w:tbl>
      <w:tblPr>
        <w:tblW w:w="935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1"/>
        <w:gridCol w:w="1526"/>
        <w:gridCol w:w="1915"/>
        <w:gridCol w:w="5314"/>
      </w:tblGrid>
      <w:tr>
        <w:trPr>
          <w:trHeight w:val="576"/>
        </w:trPr>
        <w:tc>
          <w:tcPr>
            <w:tcW w:w="601"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52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维护内容</w:t>
            </w:r>
            <w:r>
              <w:rPr>
                <w:rFonts w:hint="eastAsia" w:ascii="宋体" w:hAnsi="宋体" w:eastAsia="宋体" w:cs="宋体"/>
                <w:sz w:val="24"/>
                <w:szCs w:val="24"/>
              </w:rPr>
            </w:r>
            <w:r/>
          </w:p>
        </w:tc>
        <w:tc>
          <w:tcPr>
            <w:tcW w:w="191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维护周期及目标</w:t>
            </w: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维护要求</w:t>
            </w:r>
            <w:r>
              <w:rPr>
                <w:rFonts w:hint="eastAsia" w:ascii="宋体" w:hAnsi="宋体" w:eastAsia="宋体" w:cs="宋体"/>
                <w:sz w:val="24"/>
                <w:szCs w:val="24"/>
              </w:rPr>
            </w:r>
            <w:r/>
          </w:p>
        </w:tc>
      </w:tr>
      <w:tr>
        <w:trPr>
          <w:trHeight w:val="300"/>
        </w:trPr>
        <w:tc>
          <w:tcPr>
            <w:tcW w:w="601"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526"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采水系统维护</w:t>
            </w:r>
            <w:r>
              <w:rPr>
                <w:rFonts w:hint="eastAsia" w:ascii="宋体" w:hAnsi="宋体" w:eastAsia="宋体" w:cs="宋体"/>
                <w:sz w:val="24"/>
                <w:szCs w:val="24"/>
              </w:rPr>
            </w:r>
            <w:r/>
          </w:p>
        </w:tc>
        <w:tc>
          <w:tcPr>
            <w:tcW w:w="1915"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根据不同水期，适当调整，保证采水系统正常运行</w:t>
            </w: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对季节性断流、河道改变明显的断面水质自动站采水系统进行加固、调整采水泵。</w:t>
            </w:r>
            <w:r>
              <w:rPr>
                <w:rFonts w:hint="eastAsia" w:ascii="宋体" w:hAnsi="宋体" w:eastAsia="宋体" w:cs="宋体"/>
                <w:sz w:val="24"/>
                <w:szCs w:val="24"/>
              </w:rPr>
            </w:r>
            <w:r/>
          </w:p>
        </w:tc>
      </w:tr>
      <w:tr>
        <w:trPr>
          <w:trHeight w:val="285"/>
        </w:trPr>
        <w:tc>
          <w:tcPr>
            <w:tcW w:w="601"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526"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室内管路清洗</w:t>
            </w:r>
            <w:r>
              <w:rPr>
                <w:rFonts w:hint="eastAsia" w:ascii="宋体" w:hAnsi="宋体" w:eastAsia="宋体" w:cs="宋体"/>
                <w:sz w:val="24"/>
                <w:szCs w:val="24"/>
              </w:rPr>
            </w:r>
            <w:r/>
          </w:p>
        </w:tc>
        <w:tc>
          <w:tcPr>
            <w:tcW w:w="1915"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2次/月，确保管路透明，无泥沙藻类附着</w:t>
            </w: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手动拆卸阀门、弯头、过滤网和样水杯等部件，用试管刷清洗，清洗后原样装回。</w:t>
            </w:r>
            <w:r>
              <w:rPr>
                <w:rFonts w:hint="eastAsia" w:ascii="宋体" w:hAnsi="宋体" w:eastAsia="宋体" w:cs="宋体"/>
                <w:sz w:val="24"/>
                <w:szCs w:val="24"/>
              </w:rPr>
            </w:r>
            <w:r/>
          </w:p>
        </w:tc>
      </w:tr>
      <w:tr>
        <w:trPr>
          <w:trHeight w:val="300"/>
        </w:trPr>
        <w:tc>
          <w:tcPr>
            <w:tcW w:w="601"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915"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检查蠕动泵进水塑胶软管脏污情况，必要的情况更换。</w:t>
            </w:r>
            <w:r>
              <w:rPr>
                <w:rFonts w:hint="eastAsia" w:ascii="宋体" w:hAnsi="宋体" w:eastAsia="宋体" w:cs="宋体"/>
                <w:sz w:val="24"/>
                <w:szCs w:val="24"/>
              </w:rPr>
            </w:r>
            <w:r/>
          </w:p>
        </w:tc>
      </w:tr>
      <w:tr>
        <w:trPr>
          <w:trHeight w:val="285"/>
        </w:trPr>
        <w:tc>
          <w:tcPr>
            <w:tcW w:w="601"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526"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电动球阀</w:t>
            </w:r>
            <w:r>
              <w:rPr>
                <w:rFonts w:hint="eastAsia" w:ascii="宋体" w:hAnsi="宋体" w:eastAsia="宋体" w:cs="宋体"/>
                <w:sz w:val="24"/>
                <w:szCs w:val="24"/>
              </w:rPr>
            </w:r>
            <w:r/>
          </w:p>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清洗检查</w:t>
            </w:r>
            <w:r>
              <w:rPr>
                <w:rFonts w:hint="eastAsia" w:ascii="宋体" w:hAnsi="宋体" w:eastAsia="宋体" w:cs="宋体"/>
                <w:sz w:val="24"/>
                <w:szCs w:val="24"/>
              </w:rPr>
            </w:r>
            <w:r/>
          </w:p>
        </w:tc>
        <w:tc>
          <w:tcPr>
            <w:tcW w:w="1915"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1次/2月，确保清洗后电动球阀吸合自如，无堵塞和渗漏</w:t>
            </w: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将电动球阀手动拆下，用试管刷清洗后，将电动球阀装回管路。</w:t>
            </w:r>
            <w:r>
              <w:rPr>
                <w:rFonts w:hint="eastAsia" w:ascii="宋体" w:hAnsi="宋体" w:eastAsia="宋体" w:cs="宋体"/>
                <w:sz w:val="24"/>
                <w:szCs w:val="24"/>
              </w:rPr>
            </w:r>
            <w:r/>
          </w:p>
        </w:tc>
      </w:tr>
      <w:tr>
        <w:trPr>
          <w:trHeight w:val="600"/>
        </w:trPr>
        <w:tc>
          <w:tcPr>
            <w:tcW w:w="601"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915"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开启组态单阀测试程序，单独控制阀门开关，检查阀门开关时间是否符合要求（10s以内）。</w:t>
            </w:r>
            <w:r>
              <w:rPr>
                <w:rFonts w:hint="eastAsia" w:ascii="宋体" w:hAnsi="宋体" w:eastAsia="宋体" w:cs="宋体"/>
                <w:sz w:val="24"/>
                <w:szCs w:val="24"/>
              </w:rPr>
            </w:r>
            <w:r/>
          </w:p>
        </w:tc>
      </w:tr>
      <w:tr>
        <w:trPr>
          <w:trHeight w:val="300"/>
        </w:trPr>
        <w:tc>
          <w:tcPr>
            <w:tcW w:w="601"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915"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必要的情况替换电动球阀。</w:t>
            </w:r>
            <w:r>
              <w:rPr>
                <w:rFonts w:hint="eastAsia" w:ascii="宋体" w:hAnsi="宋体" w:eastAsia="宋体" w:cs="宋体"/>
                <w:sz w:val="24"/>
                <w:szCs w:val="24"/>
              </w:rPr>
            </w:r>
            <w:r/>
          </w:p>
        </w:tc>
      </w:tr>
      <w:tr>
        <w:trPr>
          <w:trHeight w:val="570"/>
        </w:trPr>
        <w:tc>
          <w:tcPr>
            <w:tcW w:w="601"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526"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单向阀清洗</w:t>
            </w:r>
            <w:r>
              <w:rPr>
                <w:rFonts w:hint="eastAsia" w:ascii="宋体" w:hAnsi="宋体" w:eastAsia="宋体" w:cs="宋体"/>
                <w:sz w:val="24"/>
                <w:szCs w:val="24"/>
              </w:rPr>
            </w:r>
            <w:r/>
          </w:p>
        </w:tc>
        <w:tc>
          <w:tcPr>
            <w:tcW w:w="1915"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1次/2月，确保清洗后电动球阀吸合自如，无堵塞和渗漏</w:t>
            </w: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拆下单向阀，用试管刷清洗单向阀阀体及密封橡胶上附着的脏污物，检查密封性是否完好后，原样装回管路。</w:t>
            </w:r>
            <w:r>
              <w:rPr>
                <w:rFonts w:hint="eastAsia" w:ascii="宋体" w:hAnsi="宋体" w:eastAsia="宋体" w:cs="宋体"/>
                <w:sz w:val="24"/>
                <w:szCs w:val="24"/>
              </w:rPr>
            </w:r>
            <w:r/>
          </w:p>
        </w:tc>
      </w:tr>
      <w:tr>
        <w:trPr>
          <w:trHeight w:val="300"/>
        </w:trPr>
        <w:tc>
          <w:tcPr>
            <w:tcW w:w="601"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915"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必要情况更换单向阀。</w:t>
            </w:r>
            <w:r>
              <w:rPr>
                <w:rFonts w:hint="eastAsia" w:ascii="宋体" w:hAnsi="宋体" w:eastAsia="宋体" w:cs="宋体"/>
                <w:sz w:val="24"/>
                <w:szCs w:val="24"/>
              </w:rPr>
            </w:r>
            <w:r/>
          </w:p>
        </w:tc>
      </w:tr>
      <w:tr>
        <w:trPr>
          <w:trHeight w:val="285"/>
        </w:trPr>
        <w:tc>
          <w:tcPr>
            <w:tcW w:w="601"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526"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压力表测试</w:t>
            </w:r>
            <w:r>
              <w:rPr>
                <w:rFonts w:hint="eastAsia" w:ascii="宋体" w:hAnsi="宋体" w:eastAsia="宋体" w:cs="宋体"/>
                <w:sz w:val="24"/>
                <w:szCs w:val="24"/>
              </w:rPr>
            </w:r>
            <w:r/>
          </w:p>
        </w:tc>
        <w:tc>
          <w:tcPr>
            <w:tcW w:w="1915"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1次/2月，确保清洗后压力表读数正常</w:t>
            </w: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拆下压力表表头，清洗清除压力导管内泥沙。</w:t>
            </w:r>
            <w:r>
              <w:rPr>
                <w:rFonts w:hint="eastAsia" w:ascii="宋体" w:hAnsi="宋体" w:eastAsia="宋体" w:cs="宋体"/>
                <w:sz w:val="24"/>
                <w:szCs w:val="24"/>
              </w:rPr>
            </w:r>
            <w:r/>
          </w:p>
        </w:tc>
      </w:tr>
      <w:tr>
        <w:trPr>
          <w:trHeight w:val="285"/>
        </w:trPr>
        <w:tc>
          <w:tcPr>
            <w:tcW w:w="601"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915"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压缩空气吹脱表头内残留脏污。</w:t>
            </w:r>
            <w:r>
              <w:rPr>
                <w:rFonts w:hint="eastAsia" w:ascii="宋体" w:hAnsi="宋体" w:eastAsia="宋体" w:cs="宋体"/>
                <w:sz w:val="24"/>
                <w:szCs w:val="24"/>
              </w:rPr>
            </w:r>
            <w:r/>
          </w:p>
        </w:tc>
      </w:tr>
      <w:tr>
        <w:trPr>
          <w:trHeight w:val="600"/>
        </w:trPr>
        <w:tc>
          <w:tcPr>
            <w:tcW w:w="601"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915"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调节空压机输出压力为0.6Mpa，输出气管连接到待测压力表，检查待测压力表显示是否和空压机一致，反应是否灵敏。</w:t>
            </w:r>
            <w:r>
              <w:rPr>
                <w:rFonts w:hint="eastAsia" w:ascii="宋体" w:hAnsi="宋体" w:eastAsia="宋体" w:cs="宋体"/>
                <w:sz w:val="24"/>
                <w:szCs w:val="24"/>
              </w:rPr>
            </w:r>
            <w:r/>
          </w:p>
        </w:tc>
      </w:tr>
      <w:tr>
        <w:trPr>
          <w:trHeight w:val="285"/>
        </w:trPr>
        <w:tc>
          <w:tcPr>
            <w:tcW w:w="601"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915"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原样装回压力表，注意气密性。</w:t>
            </w:r>
            <w:r>
              <w:rPr>
                <w:rFonts w:hint="eastAsia" w:ascii="宋体" w:hAnsi="宋体" w:eastAsia="宋体" w:cs="宋体"/>
                <w:sz w:val="24"/>
                <w:szCs w:val="24"/>
              </w:rPr>
            </w:r>
            <w:r/>
          </w:p>
        </w:tc>
      </w:tr>
      <w:tr>
        <w:trPr>
          <w:trHeight w:val="300"/>
        </w:trPr>
        <w:tc>
          <w:tcPr>
            <w:tcW w:w="601"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915"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必要情况更换压力表。</w:t>
            </w:r>
            <w:r>
              <w:rPr>
                <w:rFonts w:hint="eastAsia" w:ascii="宋体" w:hAnsi="宋体" w:eastAsia="宋体" w:cs="宋体"/>
                <w:sz w:val="24"/>
                <w:szCs w:val="24"/>
              </w:rPr>
            </w:r>
            <w:r/>
          </w:p>
        </w:tc>
      </w:tr>
      <w:tr>
        <w:trPr>
          <w:trHeight w:val="285"/>
        </w:trPr>
        <w:tc>
          <w:tcPr>
            <w:tcW w:w="601"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526"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工控机检查</w:t>
            </w:r>
            <w:r>
              <w:rPr>
                <w:rFonts w:hint="eastAsia" w:ascii="宋体" w:hAnsi="宋体" w:eastAsia="宋体" w:cs="宋体"/>
                <w:sz w:val="24"/>
                <w:szCs w:val="24"/>
              </w:rPr>
            </w:r>
            <w:r/>
          </w:p>
        </w:tc>
        <w:tc>
          <w:tcPr>
            <w:tcW w:w="1915" w:type="dxa"/>
            <w:vAlign w:val="center"/>
            <w:vMerge w:val="restart"/>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1次/2月</w:t>
            </w: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检查开机过程中硬件自检过程是否有异常数据传输和报警。</w:t>
            </w:r>
            <w:r>
              <w:rPr>
                <w:rFonts w:hint="eastAsia" w:ascii="宋体" w:hAnsi="宋体" w:eastAsia="宋体" w:cs="宋体"/>
                <w:sz w:val="24"/>
                <w:szCs w:val="24"/>
              </w:rPr>
            </w:r>
            <w:r/>
          </w:p>
        </w:tc>
      </w:tr>
      <w:tr>
        <w:trPr>
          <w:trHeight w:val="600"/>
        </w:trPr>
        <w:tc>
          <w:tcPr>
            <w:tcW w:w="601"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915"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强制切断电源后复电工控机是否可以自动启动，并运行windos系统、加载现场监控软件，串口连接是否正常。</w:t>
            </w:r>
            <w:r>
              <w:rPr>
                <w:rFonts w:hint="eastAsia" w:ascii="宋体" w:hAnsi="宋体" w:eastAsia="宋体" w:cs="宋体"/>
                <w:sz w:val="24"/>
                <w:szCs w:val="24"/>
              </w:rPr>
            </w:r>
            <w:r/>
          </w:p>
        </w:tc>
      </w:tr>
      <w:tr>
        <w:trPr>
          <w:trHeight w:val="600"/>
        </w:trPr>
        <w:tc>
          <w:tcPr>
            <w:tcW w:w="601"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915"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插入备份光盘，用ghost软件备份操作系统。将备份好的操作系统和分区D内的文件拷贝到备份移动硬盘上。</w:t>
            </w:r>
            <w:r>
              <w:rPr>
                <w:rFonts w:hint="eastAsia" w:ascii="宋体" w:hAnsi="宋体" w:eastAsia="宋体" w:cs="宋体"/>
                <w:sz w:val="24"/>
                <w:szCs w:val="24"/>
              </w:rPr>
            </w:r>
            <w:r/>
          </w:p>
        </w:tc>
      </w:tr>
      <w:tr>
        <w:trPr>
          <w:trHeight w:val="285"/>
        </w:trPr>
        <w:tc>
          <w:tcPr>
            <w:tcW w:w="601"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915"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断电后拆下工控机，打开后盖，用细毛刷清</w:t>
            </w:r>
            <w:r>
              <w:rPr>
                <w:rFonts w:hint="eastAsia" w:ascii="宋体" w:hAnsi="宋体" w:eastAsia="宋体" w:cs="宋体"/>
                <w:sz w:val="24"/>
                <w:szCs w:val="24"/>
              </w:rPr>
            </w:r>
            <w:r/>
          </w:p>
        </w:tc>
      </w:tr>
      <w:tr>
        <w:trPr>
          <w:trHeight w:val="600"/>
        </w:trPr>
        <w:tc>
          <w:tcPr>
            <w:tcW w:w="601"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915"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除电源和主板上的灰尘，尤其注意cpu板、内存和各个串口卡上的灰尘清除。检查各个功能卡接口是否连接牢固。</w:t>
            </w:r>
            <w:r>
              <w:rPr>
                <w:rFonts w:hint="eastAsia" w:ascii="宋体" w:hAnsi="宋体" w:eastAsia="宋体" w:cs="宋体"/>
                <w:sz w:val="24"/>
                <w:szCs w:val="24"/>
              </w:rPr>
            </w:r>
            <w:r/>
          </w:p>
        </w:tc>
      </w:tr>
      <w:tr>
        <w:trPr>
          <w:trHeight w:val="315"/>
        </w:trPr>
        <w:tc>
          <w:tcPr>
            <w:tcW w:w="601"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915"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检查硬盘SATA连接线是否松动。</w:t>
            </w:r>
            <w:r>
              <w:rPr>
                <w:rFonts w:hint="eastAsia" w:ascii="宋体" w:hAnsi="宋体" w:eastAsia="宋体" w:cs="宋体"/>
                <w:sz w:val="24"/>
                <w:szCs w:val="24"/>
              </w:rPr>
            </w:r>
            <w:r/>
          </w:p>
        </w:tc>
      </w:tr>
      <w:tr>
        <w:trPr>
          <w:trHeight w:val="285"/>
        </w:trPr>
        <w:tc>
          <w:tcPr>
            <w:tcW w:w="601"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915"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定期对杀毒软件升级，专机专用，禁止从事与工作无关的活动</w:t>
            </w:r>
            <w:r>
              <w:rPr>
                <w:rFonts w:hint="eastAsia" w:ascii="宋体" w:hAnsi="宋体" w:eastAsia="宋体" w:cs="宋体"/>
                <w:sz w:val="24"/>
                <w:szCs w:val="24"/>
              </w:rPr>
            </w:r>
            <w:r/>
          </w:p>
        </w:tc>
      </w:tr>
      <w:tr>
        <w:trPr>
          <w:trHeight w:val="330"/>
        </w:trPr>
        <w:tc>
          <w:tcPr>
            <w:tcW w:w="601"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6"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915" w:type="dxa"/>
            <w:vAlign w:val="center"/>
            <w:vMerge w:val="continue"/>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31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装回工控机重复1）、2）步骤</w:t>
            </w:r>
            <w:r>
              <w:rPr>
                <w:rFonts w:hint="eastAsia" w:ascii="宋体" w:hAnsi="宋体" w:eastAsia="宋体" w:cs="宋体"/>
                <w:sz w:val="24"/>
                <w:szCs w:val="24"/>
              </w:rPr>
            </w:r>
            <w:r/>
          </w:p>
        </w:tc>
      </w:tr>
    </w:tbl>
    <w:p>
      <w:pPr>
        <w:pStyle w:val="1270"/>
        <w:ind w:firstLine="480"/>
        <w:jc w:val="left"/>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4.5 及时排除在线分析仪器出现的故障，要求成交人在2小时内响应。如48小时内无法解决故障，须通过更换备机或委托有资质的检测机构进行检测以确保数据的完整性，所需费用由成交人负责。对于一些关键维护，包括贵重消耗件的更换，需与采购人沟通确认，所产 生的维修费用由成交人承担。 </w:t>
      </w:r>
      <w:r>
        <w:rPr>
          <w:rFonts w:hint="eastAsia" w:ascii="宋体" w:hAnsi="宋体" w:eastAsia="宋体" w:cs="宋体"/>
          <w:sz w:val="24"/>
          <w:szCs w:val="24"/>
        </w:rPr>
      </w:r>
      <w:r/>
    </w:p>
    <w:p>
      <w:pPr>
        <w:pStyle w:val="1270"/>
        <w:ind w:firstLine="480"/>
        <w:jc w:val="left"/>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4.6运行维护期间，成交人负责水质自动站的水、电、通讯（电信光纤或无线）维护维修工作，承担水电通讯等费用；负责配套设施（包括空调、站房照明、深井水相关设施等）的 维护维修更新及费用。</w:t>
      </w:r>
      <w:r>
        <w:rPr>
          <w:rFonts w:hint="eastAsia" w:ascii="宋体" w:hAnsi="宋体" w:eastAsia="宋体" w:cs="宋体"/>
          <w:sz w:val="24"/>
          <w:szCs w:val="24"/>
        </w:rPr>
      </w:r>
      <w:r/>
    </w:p>
    <w:p>
      <w:pPr>
        <w:pStyle w:val="1270"/>
        <w:ind w:firstLine="480"/>
        <w:jc w:val="left"/>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4.7 对水质自动站仪表进行定期校准、核查、比对和性能测试工作，每天至少两次数据调用监控，每周对各水质自动站至少一次现场巡查，每两周至少一次仪器校准和标准溶液自查测试，每季度自行开展一次实际水样的实验室比对测试，每两年对系统进行一次大修。配合采购人进行水质自动站质量保证和质量质控工作。</w:t>
      </w:r>
      <w:r>
        <w:rPr>
          <w:rFonts w:hint="eastAsia" w:ascii="宋体" w:hAnsi="宋体" w:eastAsia="宋体" w:cs="宋体"/>
          <w:sz w:val="24"/>
          <w:szCs w:val="24"/>
        </w:rPr>
      </w:r>
      <w:r/>
    </w:p>
    <w:p>
      <w:pPr>
        <w:pStyle w:val="1270"/>
        <w:ind w:firstLine="480"/>
        <w:jc w:val="left"/>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4.8 保证站房内外和机柜内外的清洁，整齐。 </w:t>
      </w:r>
      <w:r>
        <w:rPr>
          <w:rFonts w:hint="eastAsia" w:ascii="宋体" w:hAnsi="宋体" w:eastAsia="宋体" w:cs="宋体"/>
          <w:sz w:val="24"/>
          <w:szCs w:val="24"/>
        </w:rPr>
      </w:r>
      <w:r/>
    </w:p>
    <w:p>
      <w:pPr>
        <w:pStyle w:val="1270"/>
        <w:ind w:firstLine="480"/>
        <w:jc w:val="left"/>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4.9 认真、及时做好运行维护记录，汇总各水质自动站每周维护记录，每月以书面形式上报至采购人，该书面报告作为运行维护考核的依据之一，内容包括：每日运行数据监控统 计表、现场维护记录、仪器设备故障及排除情况登记表、每月运行情况、备品备件管理登记表、仪器质控统计表等。 </w:t>
      </w:r>
      <w:r>
        <w:rPr>
          <w:rFonts w:hint="eastAsia" w:ascii="宋体" w:hAnsi="宋体" w:eastAsia="宋体" w:cs="宋体"/>
          <w:sz w:val="24"/>
          <w:szCs w:val="24"/>
        </w:rPr>
      </w:r>
      <w:r/>
    </w:p>
    <w:p>
      <w:pPr>
        <w:pStyle w:val="1270"/>
        <w:ind w:firstLine="480"/>
        <w:jc w:val="left"/>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4.10 运行维护期间，委托成交人运行维护及管理的全部资产（包括站房及其配套设施、 配套监控系统产生的各类数据信息及相关文档资料）属采购人所有，未经采购人书面同意， 成交人不得以任何方式对各类财产进行出售、抵押或转移。 </w:t>
      </w:r>
      <w:r>
        <w:rPr>
          <w:rFonts w:hint="eastAsia" w:ascii="宋体" w:hAnsi="宋体" w:eastAsia="宋体" w:cs="宋体"/>
          <w:sz w:val="24"/>
          <w:szCs w:val="24"/>
        </w:rPr>
      </w:r>
      <w:r/>
    </w:p>
    <w:p>
      <w:pPr>
        <w:pStyle w:val="1270"/>
        <w:ind w:firstLine="480"/>
        <w:jc w:val="left"/>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4.11 在委托运行维护及管理期间，成交人有责任保护上述全部资产的完整、安全并处于良好状态，遇到自然灾害等不可预防、抗拒外部因素造成资产损害，成交人应第一时间向采购人上报相关情况。 </w:t>
      </w:r>
      <w:r>
        <w:rPr>
          <w:rFonts w:hint="eastAsia" w:ascii="宋体" w:hAnsi="宋体" w:eastAsia="宋体" w:cs="宋体"/>
          <w:sz w:val="24"/>
          <w:szCs w:val="24"/>
        </w:rPr>
      </w:r>
      <w:r/>
    </w:p>
    <w:p>
      <w:pPr>
        <w:pStyle w:val="1270"/>
        <w:ind w:firstLine="480"/>
        <w:jc w:val="left"/>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4.12 成交人须全面承担水质自动站资产的保护工作，切实做好安全保卫、防盗、防火、防雷击以及防止其他人为或自然事故的发生。凡是由于保卫保管疏漏或使用不当造成的资产损失，由成交人负责赔偿，必要时采购人要追究成交人的责任。 </w:t>
      </w:r>
      <w:r>
        <w:rPr>
          <w:rFonts w:hint="eastAsia" w:ascii="宋体" w:hAnsi="宋体" w:eastAsia="宋体" w:cs="宋体"/>
          <w:sz w:val="24"/>
          <w:szCs w:val="24"/>
        </w:rPr>
      </w:r>
      <w:r/>
    </w:p>
    <w:p>
      <w:pPr>
        <w:pStyle w:val="1270"/>
        <w:ind w:firstLine="480"/>
        <w:jc w:val="left"/>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4.13 保证水质自动站数据传输的通讯正常，须预留无线传输模式；配合采购人完善数据的集成接入。 </w:t>
      </w:r>
      <w:r>
        <w:rPr>
          <w:rFonts w:hint="eastAsia" w:ascii="宋体" w:hAnsi="宋体" w:eastAsia="宋体" w:cs="宋体"/>
          <w:sz w:val="24"/>
          <w:szCs w:val="24"/>
        </w:rPr>
      </w:r>
      <w:r/>
    </w:p>
    <w:p>
      <w:pPr>
        <w:pStyle w:val="1270"/>
        <w:ind w:firstLine="480"/>
        <w:jc w:val="left"/>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4.14 协助采购人做好水质自动站固定资产的管理、备品配件的登记等工作。 </w:t>
      </w:r>
      <w:r>
        <w:rPr>
          <w:rFonts w:hint="eastAsia" w:ascii="宋体" w:hAnsi="宋体" w:eastAsia="宋体" w:cs="宋体"/>
          <w:sz w:val="24"/>
          <w:szCs w:val="24"/>
        </w:rPr>
      </w:r>
      <w:r/>
    </w:p>
    <w:p>
      <w:pPr>
        <w:pStyle w:val="1270"/>
        <w:ind w:firstLine="480"/>
        <w:jc w:val="left"/>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4.15 成交人须确保运维人员的相对固定，人员频繁调动、缺乏熟练的运维人员都将视为 管理制度混乱而扣减运维费用；节假日期间，成交人必须安排值班人员，保证水质自动站正常运行。 </w:t>
      </w:r>
      <w:r>
        <w:rPr>
          <w:rFonts w:hint="eastAsia" w:ascii="宋体" w:hAnsi="宋体" w:eastAsia="宋体" w:cs="宋体"/>
          <w:sz w:val="24"/>
          <w:szCs w:val="24"/>
        </w:rPr>
      </w:r>
      <w:r/>
    </w:p>
    <w:p>
      <w:pPr>
        <w:pStyle w:val="1270"/>
        <w:ind w:firstLine="480"/>
        <w:jc w:val="left"/>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4.16 采购人根据管理要求和运维服务成效考核的情况，有权要求成交人适当增加车辆和人员。</w:t>
      </w:r>
      <w:bookmarkEnd w:id="674"/>
      <w:r/>
      <w:bookmarkEnd w:id="675"/>
      <w:r>
        <w:rPr>
          <w:rFonts w:hint="eastAsia" w:ascii="宋体" w:hAnsi="宋体" w:eastAsia="宋体" w:cs="宋体"/>
          <w:sz w:val="24"/>
          <w:szCs w:val="24"/>
        </w:rPr>
      </w:r>
      <w:r/>
    </w:p>
    <w:p>
      <w:pPr>
        <w:pStyle w:val="1270"/>
        <w:ind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5、考核办法</w:t>
      </w:r>
      <w:r>
        <w:rPr>
          <w:rFonts w:hint="eastAsia" w:ascii="宋体" w:hAnsi="宋体" w:eastAsia="宋体" w:cs="宋体"/>
          <w:b/>
          <w:bCs/>
          <w:sz w:val="24"/>
          <w:szCs w:val="24"/>
        </w:rPr>
      </w:r>
      <w:r/>
    </w:p>
    <w:p>
      <w:pPr>
        <w:pStyle w:val="1270"/>
        <w:ind w:firstLine="480"/>
        <w:pageBreakBefore w:val="0"/>
        <w:spacing w:line="440" w:lineRule="exact"/>
        <w:rPr>
          <w:rFonts w:hint="eastAsia" w:ascii="宋体" w:hAnsi="宋体" w:eastAsia="宋体" w:cs="宋体"/>
          <w:sz w:val="24"/>
          <w:szCs w:val="24"/>
        </w:rPr>
      </w:pPr>
      <w:r/>
      <w:bookmarkStart w:id="676" w:name="OLE_LINK124"/>
      <w:r/>
      <w:bookmarkStart w:id="677" w:name="OLE_LINK125"/>
      <w:r>
        <w:rPr>
          <w:rFonts w:hint="eastAsia" w:ascii="宋体" w:hAnsi="宋体" w:eastAsia="宋体" w:cs="宋体"/>
          <w:sz w:val="24"/>
          <w:szCs w:val="24"/>
        </w:rPr>
        <w:t xml:space="preserve">5.1服务方应根据采购方对运维服务工作的考核要求，于每月5日前向采购人提交上月水质自动站运行情况月报，向采购人陈述水质自动站的运行状况和事件处理情况等。</w:t>
      </w:r>
      <w:r>
        <w:rPr>
          <w:rFonts w:hint="eastAsia" w:ascii="宋体" w:hAnsi="宋体" w:eastAsia="宋体" w:cs="宋体"/>
          <w:sz w:val="24"/>
          <w:szCs w:val="24"/>
        </w:rPr>
      </w:r>
      <w:r/>
    </w:p>
    <w:p>
      <w:pPr>
        <w:pStyle w:val="1270"/>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5.2采购方通过多种形式对水质自动站运行情况进行考核，根据有效数据捕获率、异常情况应答率等，每月进行综合考核。考核结果将作为采购单位支付服务费用的重要。评分采取单站单台仪器考核的方式，具体考核内容见下表。（单站单台数据有效获取率以常州市监控平台获取数据统计为准，例行检查以第四方质控检查报告为准）</w:t>
      </w:r>
      <w:r>
        <w:rPr>
          <w:rFonts w:hint="eastAsia" w:ascii="宋体" w:hAnsi="宋体" w:eastAsia="宋体" w:cs="宋体"/>
          <w:sz w:val="24"/>
          <w:szCs w:val="24"/>
        </w:rPr>
      </w:r>
      <w:r/>
    </w:p>
    <w:p>
      <w:pPr>
        <w:pStyle w:val="1275"/>
        <w:ind w:firstLine="480"/>
        <w:pageBreakBefore w:val="0"/>
        <w:spacing w:before="0" w:line="44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5.3如遇下拨经费额度发生变化时，按照财政最终下拨金额按比例支付。</w:t>
      </w:r>
      <w:r>
        <w:rPr>
          <w:rFonts w:hint="eastAsia" w:ascii="宋体" w:hAnsi="宋体" w:eastAsia="宋体" w:cs="宋体"/>
          <w:sz w:val="24"/>
          <w:szCs w:val="24"/>
        </w:rPr>
      </w:r>
      <w:r/>
    </w:p>
    <w:p>
      <w:pPr>
        <w:pStyle w:val="1270"/>
        <w:ind w:firstLine="422"/>
        <w:jc w:val="center"/>
        <w:pageBreakBefore w:val="0"/>
        <w:spacing w:line="440" w:lineRule="exact"/>
        <w:rPr>
          <w:rFonts w:hint="eastAsia" w:ascii="宋体" w:hAnsi="宋体" w:eastAsia="宋体" w:cs="宋体"/>
          <w:b/>
          <w:sz w:val="24"/>
          <w:szCs w:val="24"/>
        </w:rPr>
      </w:pPr>
      <w:r/>
      <w:bookmarkEnd w:id="676"/>
      <w:r/>
      <w:bookmarkEnd w:id="677"/>
      <w:r>
        <w:rPr>
          <w:rFonts w:hint="eastAsia" w:ascii="宋体" w:hAnsi="宋体" w:eastAsia="宋体" w:cs="宋体"/>
          <w:b/>
          <w:sz w:val="24"/>
          <w:szCs w:val="24"/>
        </w:rPr>
        <w:t xml:space="preserve">水质自动监测站运维情况考核表</w:t>
      </w:r>
      <w:r>
        <w:rPr>
          <w:rFonts w:hint="eastAsia" w:ascii="宋体" w:hAnsi="宋体" w:eastAsia="宋体" w:cs="宋体"/>
          <w:b/>
          <w:sz w:val="24"/>
          <w:szCs w:val="24"/>
        </w:rPr>
      </w:r>
      <w:r/>
    </w:p>
    <w:tbl>
      <w:tblPr>
        <w:tblW w:w="4818" w:type="pct"/>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right w:w="0" w:type="dxa"/>
        </w:tblCellMar>
        <w:tblLook w:val="04A0" w:firstRow="1" w:lastRow="0" w:firstColumn="1" w:lastColumn="0" w:noHBand="0" w:noVBand="1"/>
      </w:tblPr>
      <w:tblGrid>
        <w:gridCol w:w="678"/>
        <w:gridCol w:w="3136"/>
        <w:gridCol w:w="5285"/>
      </w:tblGrid>
      <w:tr>
        <w:trPr>
          <w:cantSplit/>
          <w:trHeight w:val="663"/>
          <w:tblHeader/>
        </w:trPr>
        <w:tc>
          <w:tcPr>
            <w:tcW w:w="373" w:type="dxa"/>
            <w:vAlign w:val="center"/>
            <w:textDirection w:val="lrTb"/>
            <w:noWrap w:val="false"/>
          </w:tcPr>
          <w:p>
            <w:pPr>
              <w:pStyle w:val="1270"/>
              <w:jc w:val="center"/>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723" w:type="dxa"/>
            <w:vAlign w:val="center"/>
            <w:textDirection w:val="lrTb"/>
            <w:noWrap w:val="false"/>
          </w:tcPr>
          <w:p>
            <w:pPr>
              <w:pStyle w:val="1270"/>
              <w:jc w:val="center"/>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考核项目</w:t>
            </w:r>
            <w:r>
              <w:rPr>
                <w:rFonts w:hint="eastAsia" w:ascii="宋体" w:hAnsi="宋体" w:eastAsia="宋体" w:cs="宋体"/>
                <w:b/>
                <w:bCs/>
                <w:sz w:val="24"/>
                <w:szCs w:val="24"/>
              </w:rPr>
            </w:r>
            <w:r/>
          </w:p>
        </w:tc>
        <w:tc>
          <w:tcPr>
            <w:tcW w:w="2904" w:type="dxa"/>
            <w:vAlign w:val="center"/>
            <w:textDirection w:val="lrTb"/>
            <w:noWrap w:val="false"/>
          </w:tcPr>
          <w:p>
            <w:pPr>
              <w:pStyle w:val="1270"/>
              <w:jc w:val="center"/>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评分细则</w:t>
            </w:r>
            <w:r>
              <w:rPr>
                <w:rFonts w:hint="eastAsia" w:ascii="宋体" w:hAnsi="宋体" w:eastAsia="宋体" w:cs="宋体"/>
                <w:b/>
                <w:bCs/>
                <w:sz w:val="24"/>
                <w:szCs w:val="24"/>
              </w:rPr>
            </w:r>
            <w:r/>
          </w:p>
        </w:tc>
      </w:tr>
      <w:tr>
        <w:trPr>
          <w:cantSplit/>
          <w:trHeight w:val="805"/>
        </w:trPr>
        <w:tc>
          <w:tcPr>
            <w:tcW w:w="373"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bookmarkStart w:id="678" w:name="_Hlk196663919"/>
            <w:r/>
            <w:bookmarkStart w:id="679" w:name="OLE_LINK226"/>
            <w:r/>
            <w:bookmarkStart w:id="680" w:name="OLE_LINK225"/>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723"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数据有效获取率</w:t>
            </w:r>
            <w:r>
              <w:rPr>
                <w:rFonts w:hint="eastAsia" w:ascii="宋体" w:hAnsi="宋体" w:eastAsia="宋体" w:cs="宋体"/>
                <w:sz w:val="24"/>
                <w:szCs w:val="24"/>
              </w:rPr>
            </w:r>
            <w:r/>
          </w:p>
        </w:tc>
        <w:tc>
          <w:tcPr>
            <w:tcW w:w="290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数据有效获取率≥95%，不扣款；85%＜数据有效获取率＜95%，按每下降1%扣2%运维费用；低于85%，该台设备运维费用为0</w:t>
            </w:r>
            <w:r>
              <w:rPr>
                <w:rFonts w:hint="eastAsia" w:ascii="宋体" w:hAnsi="宋体" w:eastAsia="宋体" w:cs="宋体"/>
                <w:sz w:val="24"/>
                <w:szCs w:val="24"/>
              </w:rPr>
            </w:r>
            <w:r/>
          </w:p>
        </w:tc>
      </w:tr>
      <w:tr>
        <w:trPr>
          <w:cantSplit/>
          <w:trHeight w:val="1194"/>
        </w:trPr>
        <w:tc>
          <w:tcPr>
            <w:tcW w:w="373"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723"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异常情况应答率</w:t>
            </w:r>
            <w:r>
              <w:rPr>
                <w:rFonts w:hint="eastAsia" w:ascii="宋体" w:hAnsi="宋体" w:eastAsia="宋体" w:cs="宋体"/>
                <w:sz w:val="24"/>
                <w:szCs w:val="24"/>
              </w:rPr>
            </w:r>
            <w:r/>
          </w:p>
        </w:tc>
        <w:tc>
          <w:tcPr>
            <w:tcW w:w="290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每日8:00-19:00在接到通知后2小时内应答；19:00-次日8:00在次日10点前应答，未应答每次扣2%运维费用。应答指已解决问题或已至现场开展调查。</w:t>
            </w:r>
            <w:r>
              <w:rPr>
                <w:rFonts w:hint="eastAsia" w:ascii="宋体" w:hAnsi="宋体" w:eastAsia="宋体" w:cs="宋体"/>
                <w:sz w:val="24"/>
                <w:szCs w:val="24"/>
              </w:rPr>
            </w:r>
            <w:r/>
          </w:p>
        </w:tc>
      </w:tr>
      <w:tr>
        <w:trPr>
          <w:cantSplit/>
          <w:trHeight w:val="664"/>
        </w:trPr>
        <w:tc>
          <w:tcPr>
            <w:tcW w:w="373"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723"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例行检查</w:t>
            </w:r>
            <w:r>
              <w:rPr>
                <w:rFonts w:hint="eastAsia" w:ascii="宋体" w:hAnsi="宋体" w:eastAsia="宋体" w:cs="宋体"/>
                <w:sz w:val="24"/>
                <w:szCs w:val="24"/>
              </w:rPr>
            </w:r>
            <w:r/>
          </w:p>
        </w:tc>
        <w:tc>
          <w:tcPr>
            <w:tcW w:w="290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根据例行质控检查评分结果，低于80分（不含），该站点运维费用为0；80~90分（不含）按每下降1分扣1%运维费用；得分高于90分，不扣款。盲样考核不合格单次扣款1000元。</w:t>
            </w:r>
            <w:r>
              <w:rPr>
                <w:rFonts w:hint="eastAsia" w:ascii="宋体" w:hAnsi="宋体" w:eastAsia="宋体" w:cs="宋体"/>
                <w:sz w:val="24"/>
                <w:szCs w:val="24"/>
              </w:rPr>
            </w:r>
            <w:r/>
          </w:p>
        </w:tc>
      </w:tr>
      <w:tr>
        <w:trPr>
          <w:cantSplit/>
          <w:trHeight w:val="664"/>
        </w:trPr>
        <w:tc>
          <w:tcPr>
            <w:tcW w:w="373"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723"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随机抽查</w:t>
            </w:r>
            <w:r>
              <w:rPr>
                <w:rFonts w:hint="eastAsia" w:ascii="宋体" w:hAnsi="宋体" w:eastAsia="宋体" w:cs="宋体"/>
                <w:sz w:val="24"/>
                <w:szCs w:val="24"/>
              </w:rPr>
            </w:r>
            <w:r/>
          </w:p>
        </w:tc>
        <w:tc>
          <w:tcPr>
            <w:tcW w:w="2904" w:type="dxa"/>
            <w:vAlign w:val="center"/>
            <w:textDirection w:val="lrTb"/>
            <w:noWrap w:val="false"/>
          </w:tcPr>
          <w:p>
            <w:pPr>
              <w:pStyle w:val="127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根据随机抽查结果，每次出现不符合情况扣除1000元</w:t>
            </w:r>
            <w:r>
              <w:rPr>
                <w:rFonts w:hint="eastAsia" w:ascii="宋体" w:hAnsi="宋体" w:eastAsia="宋体" w:cs="宋体"/>
                <w:sz w:val="24"/>
                <w:szCs w:val="24"/>
              </w:rPr>
            </w:r>
            <w:r/>
          </w:p>
        </w:tc>
      </w:tr>
    </w:tbl>
    <w:p>
      <w:pPr>
        <w:pStyle w:val="1270"/>
        <w:ind w:firstLine="482"/>
        <w:pageBreakBefore w:val="0"/>
        <w:spacing w:line="440" w:lineRule="exact"/>
        <w:rPr>
          <w:rFonts w:hint="eastAsia" w:ascii="宋体" w:hAnsi="宋体" w:eastAsia="宋体" w:cs="宋体"/>
          <w:b/>
          <w:bCs/>
          <w:sz w:val="24"/>
          <w:szCs w:val="24"/>
        </w:rPr>
      </w:pPr>
      <w:r/>
      <w:bookmarkEnd w:id="678"/>
      <w:r/>
      <w:bookmarkEnd w:id="679"/>
      <w:r/>
      <w:bookmarkEnd w:id="680"/>
      <w:r>
        <w:rPr>
          <w:rFonts w:hint="eastAsia" w:ascii="宋体" w:hAnsi="宋体" w:eastAsia="宋体" w:cs="宋体"/>
          <w:b/>
          <w:bCs/>
          <w:sz w:val="24"/>
          <w:szCs w:val="24"/>
        </w:rPr>
        <w:t xml:space="preserve">6、交接方式：</w:t>
      </w:r>
      <w:r>
        <w:rPr>
          <w:rFonts w:hint="eastAsia" w:ascii="宋体" w:hAnsi="宋体" w:eastAsia="宋体" w:cs="宋体"/>
          <w:b/>
          <w:bCs/>
          <w:sz w:val="24"/>
          <w:szCs w:val="24"/>
        </w:rPr>
      </w:r>
      <w:r/>
    </w:p>
    <w:p>
      <w:pPr>
        <w:pStyle w:val="1270"/>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1.采购方在合同生效后向成交人提供水质自动站的相关技术资料，包括系统、仪表技 术说明书（包括软件部分）、电气原理图、电气接线图、操作手册、仪表试剂配方、通讯协议。</w:t>
      </w:r>
      <w:r>
        <w:rPr>
          <w:rFonts w:hint="eastAsia" w:ascii="宋体" w:hAnsi="宋体" w:eastAsia="宋体" w:cs="宋体"/>
          <w:sz w:val="24"/>
          <w:szCs w:val="24"/>
        </w:rPr>
      </w:r>
      <w:r/>
    </w:p>
    <w:p>
      <w:pPr>
        <w:pStyle w:val="1270"/>
        <w:ind w:firstLine="480"/>
        <w:pageBreakBefore w:val="0"/>
        <w:spacing w:line="440" w:lineRule="exact"/>
        <w:rPr>
          <w:rFonts w:hint="eastAsia" w:ascii="宋体" w:hAnsi="宋体" w:eastAsia="宋体" w:cs="宋体"/>
          <w:b/>
          <w:bCs/>
          <w:color w:val="000000"/>
          <w:sz w:val="24"/>
          <w:szCs w:val="24"/>
        </w:rPr>
      </w:pPr>
      <w:r>
        <w:rPr>
          <w:rFonts w:hint="eastAsia" w:ascii="宋体" w:hAnsi="宋体" w:eastAsia="宋体" w:cs="宋体"/>
          <w:sz w:val="24"/>
          <w:szCs w:val="24"/>
        </w:rPr>
        <w:t xml:space="preserve">2.在合同生效后采购方与成交人共同对水质自动站的系统运行情况、仪器运行情况、数据采集情况进行实际考察，并且做好备案。</w:t>
      </w:r>
      <w:r>
        <w:rPr>
          <w:rFonts w:hint="eastAsia" w:ascii="宋体" w:hAnsi="宋体" w:eastAsia="宋体" w:cs="宋体"/>
          <w:b/>
          <w:bCs/>
          <w:color w:val="000000"/>
          <w:sz w:val="24"/>
          <w:szCs w:val="24"/>
        </w:rPr>
      </w:r>
      <w:r/>
    </w:p>
    <w:p>
      <w:pPr>
        <w:pStyle w:val="1270"/>
        <w:ind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7、参考技术规范和标准：</w:t>
      </w:r>
      <w:r>
        <w:rPr>
          <w:rFonts w:hint="eastAsia" w:ascii="宋体" w:hAnsi="宋体" w:eastAsia="宋体" w:cs="宋体"/>
          <w:b/>
          <w:bCs/>
          <w:sz w:val="24"/>
          <w:szCs w:val="24"/>
        </w:rPr>
      </w:r>
      <w:r/>
    </w:p>
    <w:p>
      <w:pPr>
        <w:pStyle w:val="1270"/>
        <w:numPr>
          <w:ilvl w:val="0"/>
          <w:numId w:val="13"/>
        </w:numPr>
        <w:ind w:lef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《地表水自动监测技术规范（试行）》（HJ915-2017）</w:t>
      </w:r>
      <w:r>
        <w:rPr>
          <w:rFonts w:hint="eastAsia" w:ascii="宋体" w:hAnsi="宋体" w:eastAsia="宋体" w:cs="宋体"/>
          <w:color w:val="000000"/>
          <w:sz w:val="24"/>
          <w:szCs w:val="24"/>
        </w:rPr>
      </w:r>
      <w:r/>
    </w:p>
    <w:p>
      <w:pPr>
        <w:pStyle w:val="1270"/>
        <w:numPr>
          <w:ilvl w:val="0"/>
          <w:numId w:val="13"/>
        </w:numPr>
        <w:ind w:lef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《水和废水监测分析方法》(第四版增补版)</w:t>
      </w:r>
      <w:r>
        <w:rPr>
          <w:rFonts w:hint="eastAsia" w:ascii="宋体" w:hAnsi="宋体" w:eastAsia="宋体" w:cs="宋体"/>
          <w:color w:val="000000"/>
          <w:sz w:val="24"/>
          <w:szCs w:val="24"/>
        </w:rPr>
      </w:r>
      <w:r/>
    </w:p>
    <w:p>
      <w:pPr>
        <w:pStyle w:val="1270"/>
        <w:numPr>
          <w:ilvl w:val="0"/>
          <w:numId w:val="13"/>
        </w:numPr>
        <w:ind w:lef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《江苏省环境水质（地表水）自动监测预警系统运行管理办法（试行）》</w:t>
      </w:r>
      <w:r>
        <w:rPr>
          <w:rFonts w:hint="eastAsia" w:ascii="宋体" w:hAnsi="宋体" w:eastAsia="宋体" w:cs="宋体"/>
          <w:color w:val="000000"/>
          <w:sz w:val="24"/>
          <w:szCs w:val="24"/>
        </w:rPr>
      </w:r>
      <w:r/>
    </w:p>
    <w:p>
      <w:pPr>
        <w:pStyle w:val="1270"/>
        <w:numPr>
          <w:ilvl w:val="0"/>
          <w:numId w:val="13"/>
        </w:numPr>
        <w:ind w:lef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《江苏省地表水自动监测站运行管理办法（试行）（苏环办[2020]174号）</w:t>
      </w:r>
      <w:r>
        <w:rPr>
          <w:rFonts w:hint="eastAsia" w:ascii="宋体" w:hAnsi="宋体" w:eastAsia="宋体" w:cs="宋体"/>
          <w:color w:val="000000"/>
          <w:sz w:val="24"/>
          <w:szCs w:val="24"/>
        </w:rPr>
      </w:r>
      <w:r/>
    </w:p>
    <w:p>
      <w:pPr>
        <w:pStyle w:val="1270"/>
        <w:numPr>
          <w:ilvl w:val="0"/>
          <w:numId w:val="13"/>
        </w:numPr>
        <w:ind w:lef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《地表水环境质量监测数据统计技术规定（试行）》（环办监测函[2020]82号）</w:t>
      </w:r>
      <w:r>
        <w:rPr>
          <w:rFonts w:hint="eastAsia" w:ascii="宋体" w:hAnsi="宋体" w:eastAsia="宋体" w:cs="宋体"/>
          <w:color w:val="000000"/>
          <w:sz w:val="24"/>
          <w:szCs w:val="24"/>
        </w:rPr>
      </w:r>
      <w:r/>
    </w:p>
    <w:p>
      <w:pPr>
        <w:pStyle w:val="1270"/>
        <w:numPr>
          <w:ilvl w:val="0"/>
          <w:numId w:val="13"/>
        </w:numPr>
        <w:ind w:lef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《地表水自动监测数据处理方法及修约规则（试行）》（总站水字[2020]90号）</w:t>
      </w:r>
      <w:r>
        <w:rPr>
          <w:rFonts w:hint="eastAsia" w:ascii="宋体" w:hAnsi="宋体" w:eastAsia="宋体" w:cs="宋体"/>
          <w:color w:val="000000"/>
          <w:sz w:val="24"/>
          <w:szCs w:val="24"/>
        </w:rPr>
      </w:r>
      <w:r/>
    </w:p>
    <w:p>
      <w:pPr>
        <w:pStyle w:val="1270"/>
        <w:numPr>
          <w:ilvl w:val="0"/>
          <w:numId w:val="13"/>
        </w:numPr>
        <w:ind w:lef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"http://www.sepa.gov.cn/image20010518/1782.pdf" </w:instrText>
      </w:r>
      <w:r>
        <w:rPr>
          <w:rFonts w:hint="eastAsia" w:ascii="宋体" w:hAnsi="宋体" w:eastAsia="宋体" w:cs="宋体"/>
          <w:sz w:val="24"/>
          <w:szCs w:val="24"/>
        </w:rPr>
        <w:fldChar w:fldCharType="separate"/>
      </w:r>
      <w:r>
        <w:rPr>
          <w:rFonts w:hint="eastAsia" w:ascii="宋体" w:hAnsi="宋体" w:eastAsia="宋体" w:cs="宋体"/>
          <w:color w:val="000000"/>
          <w:sz w:val="24"/>
          <w:szCs w:val="24"/>
        </w:rPr>
        <w:t xml:space="preserve">地表水环境质量监测技术规范》（HJ91.2-2022）</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r>
      <w:r/>
    </w:p>
    <w:p>
      <w:pPr>
        <w:pStyle w:val="1270"/>
        <w:numPr>
          <w:ilvl w:val="0"/>
          <w:numId w:val="13"/>
        </w:numPr>
        <w:ind w:lef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《pH水质自动分析仪技术要求》（HJ/T96-2003）</w:t>
      </w:r>
      <w:r>
        <w:rPr>
          <w:rFonts w:hint="eastAsia" w:ascii="宋体" w:hAnsi="宋体" w:eastAsia="宋体" w:cs="宋体"/>
          <w:color w:val="000000"/>
          <w:sz w:val="24"/>
          <w:szCs w:val="24"/>
        </w:rPr>
      </w:r>
      <w:r/>
    </w:p>
    <w:p>
      <w:pPr>
        <w:pStyle w:val="1270"/>
        <w:numPr>
          <w:ilvl w:val="0"/>
          <w:numId w:val="13"/>
        </w:numPr>
        <w:ind w:lef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《电导率水质自动分析仪技术要求》（HJ/T97-2003）</w:t>
      </w:r>
      <w:r>
        <w:rPr>
          <w:rFonts w:hint="eastAsia" w:ascii="宋体" w:hAnsi="宋体" w:eastAsia="宋体" w:cs="宋体"/>
          <w:color w:val="000000"/>
          <w:sz w:val="24"/>
          <w:szCs w:val="24"/>
        </w:rPr>
      </w:r>
      <w:r/>
    </w:p>
    <w:p>
      <w:pPr>
        <w:pStyle w:val="1270"/>
        <w:numPr>
          <w:ilvl w:val="0"/>
          <w:numId w:val="13"/>
        </w:numPr>
        <w:ind w:lef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《浊度水质自动分析仪技术要求》（HJ/T98-2003）</w:t>
      </w:r>
      <w:r>
        <w:rPr>
          <w:rFonts w:hint="eastAsia" w:ascii="宋体" w:hAnsi="宋体" w:eastAsia="宋体" w:cs="宋体"/>
          <w:color w:val="000000"/>
          <w:sz w:val="24"/>
          <w:szCs w:val="24"/>
        </w:rPr>
      </w:r>
      <w:r/>
    </w:p>
    <w:p>
      <w:pPr>
        <w:pStyle w:val="1270"/>
        <w:numPr>
          <w:ilvl w:val="0"/>
          <w:numId w:val="13"/>
        </w:numPr>
        <w:ind w:lef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《溶解氧（DO）水质自动分析仪技术要求》（HJ/T99-2003）</w:t>
      </w:r>
      <w:r>
        <w:rPr>
          <w:rFonts w:hint="eastAsia" w:ascii="宋体" w:hAnsi="宋体" w:eastAsia="宋体" w:cs="宋体"/>
          <w:color w:val="000000"/>
          <w:sz w:val="24"/>
          <w:szCs w:val="24"/>
        </w:rPr>
      </w:r>
      <w:r/>
    </w:p>
    <w:p>
      <w:pPr>
        <w:pStyle w:val="1270"/>
        <w:numPr>
          <w:ilvl w:val="0"/>
          <w:numId w:val="13"/>
        </w:numPr>
        <w:ind w:lef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《高锰酸盐指数水质自动分析仪技术要求》（HJ/T100-2003）</w:t>
      </w:r>
      <w:r>
        <w:rPr>
          <w:rFonts w:hint="eastAsia" w:ascii="宋体" w:hAnsi="宋体" w:eastAsia="宋体" w:cs="宋体"/>
          <w:color w:val="000000"/>
          <w:sz w:val="24"/>
          <w:szCs w:val="24"/>
        </w:rPr>
      </w:r>
      <w:r/>
    </w:p>
    <w:p>
      <w:pPr>
        <w:pStyle w:val="1270"/>
        <w:numPr>
          <w:ilvl w:val="0"/>
          <w:numId w:val="13"/>
        </w:numPr>
        <w:ind w:lef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《氨氮水质自动分析仪技术要求》（HJ/T101-2019）</w:t>
      </w:r>
      <w:r>
        <w:rPr>
          <w:rFonts w:hint="eastAsia" w:ascii="宋体" w:hAnsi="宋体" w:eastAsia="宋体" w:cs="宋体"/>
          <w:color w:val="000000"/>
          <w:sz w:val="24"/>
          <w:szCs w:val="24"/>
        </w:rPr>
      </w:r>
      <w:r/>
    </w:p>
    <w:p>
      <w:pPr>
        <w:pStyle w:val="1270"/>
        <w:numPr>
          <w:ilvl w:val="0"/>
          <w:numId w:val="13"/>
        </w:numPr>
        <w:ind w:lef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《总氮水质自动分析仪技术要求》（HJ/T 102-2003）</w:t>
      </w:r>
      <w:r>
        <w:rPr>
          <w:rFonts w:hint="eastAsia" w:ascii="宋体" w:hAnsi="宋体" w:eastAsia="宋体" w:cs="宋体"/>
          <w:color w:val="000000"/>
          <w:sz w:val="24"/>
          <w:szCs w:val="24"/>
        </w:rPr>
      </w:r>
      <w:r/>
    </w:p>
    <w:p>
      <w:pPr>
        <w:pStyle w:val="1270"/>
        <w:numPr>
          <w:ilvl w:val="0"/>
          <w:numId w:val="13"/>
        </w:numPr>
        <w:ind w:lef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《总磷水质自动分析仪技术要求》（HJ/T 103-2003）</w:t>
      </w:r>
      <w:r>
        <w:rPr>
          <w:rFonts w:hint="eastAsia" w:ascii="宋体" w:hAnsi="宋体" w:eastAsia="宋体" w:cs="宋体"/>
          <w:color w:val="000000"/>
          <w:sz w:val="24"/>
          <w:szCs w:val="24"/>
        </w:rPr>
      </w:r>
      <w:r/>
    </w:p>
    <w:p>
      <w:pPr>
        <w:pStyle w:val="1270"/>
        <w:numPr>
          <w:ilvl w:val="0"/>
          <w:numId w:val="13"/>
        </w:numPr>
        <w:ind w:left="0" w:firstLine="480"/>
        <w:jc w:val="left"/>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其他现行有效的技术规范及国家标准。</w:t>
      </w:r>
      <w:r>
        <w:rPr>
          <w:rFonts w:hint="eastAsia" w:ascii="宋体" w:hAnsi="宋体" w:eastAsia="宋体" w:cs="宋体"/>
          <w:color w:val="000000"/>
          <w:sz w:val="24"/>
          <w:szCs w:val="24"/>
        </w:rPr>
      </w:r>
      <w:r/>
    </w:p>
    <w:p>
      <w:pPr>
        <w:pStyle w:val="1557"/>
        <w:contextualSpacing/>
        <w:ind w:left="500" w:firstLine="0"/>
        <w:pageBreakBefore w:val="0"/>
        <w:spacing w:line="440" w:lineRule="exact"/>
        <w:rPr>
          <w:rFonts w:hint="eastAsia" w:ascii="宋体" w:hAnsi="宋体" w:eastAsia="宋体" w:cs="宋体"/>
          <w:b/>
          <w:color w:val="000000"/>
          <w:sz w:val="24"/>
          <w:szCs w:val="24"/>
        </w:rPr>
      </w:pPr>
      <w:r/>
      <w:bookmarkStart w:id="681" w:name="_Toc104818929"/>
      <w:r>
        <w:rPr>
          <w:rFonts w:hint="eastAsia" w:ascii="宋体" w:hAnsi="宋体" w:eastAsia="宋体" w:cs="宋体"/>
          <w:b/>
          <w:color w:val="000000"/>
          <w:sz w:val="24"/>
          <w:szCs w:val="24"/>
        </w:rPr>
      </w:r>
      <w:r/>
    </w:p>
    <w:p>
      <w:pPr>
        <w:pStyle w:val="1557"/>
        <w:contextualSpacing/>
        <w:ind w:left="500" w:firstLine="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采购包2：空气自动监测站运维服务</w:t>
      </w:r>
      <w:r>
        <w:rPr>
          <w:rFonts w:hint="eastAsia" w:ascii="宋体" w:hAnsi="宋体" w:eastAsia="宋体" w:cs="宋体"/>
          <w:b/>
          <w:color w:val="000000"/>
          <w:sz w:val="24"/>
          <w:szCs w:val="24"/>
        </w:rPr>
      </w:r>
      <w:r/>
    </w:p>
    <w:p>
      <w:pPr>
        <w:pStyle w:val="1270"/>
        <w:contextualSpacing/>
        <w:ind w:firstLine="482"/>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依据《江苏省环境空气质量自动监测站管理办法》的要求，结合我市实际，拟将溧阳市建设的12个镇区空气自动站委托有资质单位进行运行维护，包括站点的日常运行、设备维护维修以及站点的电费、网络费、水费等，以保障自动站的正常运行。采购内容包括PM2.5分析仪、PM10分析仪、O3分析仪、SO2分析仪、NO/NO2/NOx分析仪、CO分析仪、气象五参数仪及相关辅助设备包括采样系统、数据采集与传输软硬件、钢瓶气、制冷系统等的运行维护服务。</w:t>
      </w:r>
      <w:r>
        <w:rPr>
          <w:rFonts w:hint="eastAsia" w:ascii="宋体" w:hAnsi="宋体" w:eastAsia="宋体" w:cs="宋体"/>
          <w:bCs/>
          <w:sz w:val="24"/>
          <w:szCs w:val="24"/>
        </w:rPr>
      </w:r>
      <w:r/>
    </w:p>
    <w:p>
      <w:pPr>
        <w:pStyle w:val="1270"/>
        <w:ind w:firstLine="36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运维站点主要监测仪器情况见下表。</w:t>
      </w:r>
      <w:r>
        <w:rPr>
          <w:rFonts w:hint="eastAsia" w:ascii="宋体" w:hAnsi="宋体" w:eastAsia="宋体" w:cs="宋体"/>
          <w:color w:val="000000"/>
          <w:sz w:val="24"/>
          <w:szCs w:val="24"/>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1807"/>
        <w:gridCol w:w="6595"/>
      </w:tblGrid>
      <w:tr>
        <w:trPr>
          <w:trHeight w:val="701"/>
        </w:trPr>
        <w:tc>
          <w:tcPr>
            <w:tcW w:w="645"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936"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监测子站</w:t>
            </w:r>
            <w:r>
              <w:rPr>
                <w:rFonts w:hint="eastAsia" w:ascii="宋体" w:hAnsi="宋体" w:eastAsia="宋体" w:cs="宋体"/>
                <w:sz w:val="24"/>
                <w:szCs w:val="24"/>
              </w:rPr>
            </w:r>
            <w:r/>
          </w:p>
        </w:tc>
        <w:tc>
          <w:tcPr>
            <w:tcW w:w="3417"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监测项目</w:t>
            </w:r>
            <w:r>
              <w:rPr>
                <w:rFonts w:hint="eastAsia" w:ascii="宋体" w:hAnsi="宋体" w:eastAsia="宋体" w:cs="宋体"/>
                <w:sz w:val="24"/>
                <w:szCs w:val="24"/>
              </w:rPr>
            </w:r>
            <w:r/>
          </w:p>
        </w:tc>
      </w:tr>
      <w:tr>
        <w:trPr>
          <w:trHeight w:val="373"/>
        </w:trPr>
        <w:tc>
          <w:tcPr>
            <w:tcW w:w="645"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936" w:type="dxa"/>
            <w:vAlign w:val="bottom"/>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昆仑街道</w:t>
            </w:r>
            <w:r>
              <w:rPr>
                <w:rFonts w:hint="eastAsia" w:ascii="宋体" w:hAnsi="宋体" w:eastAsia="宋体" w:cs="宋体"/>
                <w:sz w:val="24"/>
                <w:szCs w:val="24"/>
              </w:rPr>
            </w:r>
            <w:r/>
          </w:p>
        </w:tc>
        <w:tc>
          <w:tcPr>
            <w:tcW w:w="3417"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SO2、NOx、CO、O3、PM10、PM2.5、气象五参数</w:t>
            </w:r>
            <w:r>
              <w:rPr>
                <w:rFonts w:hint="eastAsia" w:ascii="宋体" w:hAnsi="宋体" w:eastAsia="宋体" w:cs="宋体"/>
                <w:sz w:val="24"/>
                <w:szCs w:val="24"/>
              </w:rPr>
            </w:r>
            <w:r/>
          </w:p>
        </w:tc>
      </w:tr>
      <w:tr>
        <w:trPr>
          <w:trHeight w:val="373"/>
        </w:trPr>
        <w:tc>
          <w:tcPr>
            <w:tcW w:w="645"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936" w:type="dxa"/>
            <w:vAlign w:val="bottom"/>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埭头镇</w:t>
            </w:r>
            <w:r>
              <w:rPr>
                <w:rFonts w:hint="eastAsia" w:ascii="宋体" w:hAnsi="宋体" w:eastAsia="宋体" w:cs="宋体"/>
                <w:sz w:val="24"/>
                <w:szCs w:val="24"/>
              </w:rPr>
            </w:r>
            <w:r/>
          </w:p>
        </w:tc>
        <w:tc>
          <w:tcPr>
            <w:tcW w:w="3417"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SO2、NOx、CO、O3、PM10、PM2.5、气象五参数</w:t>
            </w:r>
            <w:r>
              <w:rPr>
                <w:rFonts w:hint="eastAsia" w:ascii="宋体" w:hAnsi="宋体" w:eastAsia="宋体" w:cs="宋体"/>
                <w:sz w:val="24"/>
                <w:szCs w:val="24"/>
              </w:rPr>
            </w:r>
            <w:r/>
          </w:p>
        </w:tc>
      </w:tr>
      <w:tr>
        <w:trPr>
          <w:trHeight w:val="373"/>
        </w:trPr>
        <w:tc>
          <w:tcPr>
            <w:tcW w:w="645"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936" w:type="dxa"/>
            <w:vAlign w:val="bottom"/>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上黄镇</w:t>
            </w:r>
            <w:r>
              <w:rPr>
                <w:rFonts w:hint="eastAsia" w:ascii="宋体" w:hAnsi="宋体" w:eastAsia="宋体" w:cs="宋体"/>
                <w:sz w:val="24"/>
                <w:szCs w:val="24"/>
              </w:rPr>
            </w:r>
            <w:r/>
          </w:p>
        </w:tc>
        <w:tc>
          <w:tcPr>
            <w:tcW w:w="3417"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SO2、NOx、CO、O3、PM10、PM2.5、气象五参数</w:t>
            </w:r>
            <w:r>
              <w:rPr>
                <w:rFonts w:hint="eastAsia" w:ascii="宋体" w:hAnsi="宋体" w:eastAsia="宋体" w:cs="宋体"/>
                <w:sz w:val="24"/>
                <w:szCs w:val="24"/>
              </w:rPr>
            </w:r>
            <w:r/>
          </w:p>
        </w:tc>
      </w:tr>
      <w:tr>
        <w:trPr>
          <w:trHeight w:val="373"/>
        </w:trPr>
        <w:tc>
          <w:tcPr>
            <w:tcW w:w="645"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936" w:type="dxa"/>
            <w:vAlign w:val="bottom"/>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别桥镇</w:t>
            </w:r>
            <w:r>
              <w:rPr>
                <w:rFonts w:hint="eastAsia" w:ascii="宋体" w:hAnsi="宋体" w:eastAsia="宋体" w:cs="宋体"/>
                <w:sz w:val="24"/>
                <w:szCs w:val="24"/>
              </w:rPr>
            </w:r>
            <w:r/>
          </w:p>
        </w:tc>
        <w:tc>
          <w:tcPr>
            <w:tcW w:w="3417"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SO2、NOx、CO、O3、PM10、PM2.5、气象五参数</w:t>
            </w:r>
            <w:r>
              <w:rPr>
                <w:rFonts w:hint="eastAsia" w:ascii="宋体" w:hAnsi="宋体" w:eastAsia="宋体" w:cs="宋体"/>
                <w:sz w:val="24"/>
                <w:szCs w:val="24"/>
              </w:rPr>
            </w:r>
            <w:r/>
          </w:p>
        </w:tc>
      </w:tr>
      <w:tr>
        <w:trPr>
          <w:trHeight w:val="373"/>
        </w:trPr>
        <w:tc>
          <w:tcPr>
            <w:tcW w:w="645"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936" w:type="dxa"/>
            <w:vAlign w:val="bottom"/>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竹箦镇</w:t>
            </w:r>
            <w:r>
              <w:rPr>
                <w:rFonts w:hint="eastAsia" w:ascii="宋体" w:hAnsi="宋体" w:eastAsia="宋体" w:cs="宋体"/>
                <w:sz w:val="24"/>
                <w:szCs w:val="24"/>
              </w:rPr>
            </w:r>
            <w:r/>
          </w:p>
        </w:tc>
        <w:tc>
          <w:tcPr>
            <w:tcW w:w="3417"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SO2、NOx、CO、O3、PM10、PM2.5、气象五参数</w:t>
            </w:r>
            <w:r>
              <w:rPr>
                <w:rFonts w:hint="eastAsia" w:ascii="宋体" w:hAnsi="宋体" w:eastAsia="宋体" w:cs="宋体"/>
                <w:sz w:val="24"/>
                <w:szCs w:val="24"/>
              </w:rPr>
            </w:r>
            <w:r/>
          </w:p>
        </w:tc>
      </w:tr>
      <w:tr>
        <w:trPr>
          <w:trHeight w:val="373"/>
        </w:trPr>
        <w:tc>
          <w:tcPr>
            <w:tcW w:w="645"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936" w:type="dxa"/>
            <w:vAlign w:val="bottom"/>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南渡镇</w:t>
            </w:r>
            <w:r>
              <w:rPr>
                <w:rFonts w:hint="eastAsia" w:ascii="宋体" w:hAnsi="宋体" w:eastAsia="宋体" w:cs="宋体"/>
                <w:sz w:val="24"/>
                <w:szCs w:val="24"/>
              </w:rPr>
            </w:r>
            <w:r/>
          </w:p>
        </w:tc>
        <w:tc>
          <w:tcPr>
            <w:tcW w:w="3417"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SO2、NOx、CO、O3、PM10、PM2.5、气象五参数</w:t>
            </w:r>
            <w:r>
              <w:rPr>
                <w:rFonts w:hint="eastAsia" w:ascii="宋体" w:hAnsi="宋体" w:eastAsia="宋体" w:cs="宋体"/>
                <w:sz w:val="24"/>
                <w:szCs w:val="24"/>
              </w:rPr>
            </w:r>
            <w:r/>
          </w:p>
        </w:tc>
      </w:tr>
      <w:tr>
        <w:trPr>
          <w:trHeight w:val="373"/>
        </w:trPr>
        <w:tc>
          <w:tcPr>
            <w:tcW w:w="645"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936" w:type="dxa"/>
            <w:vAlign w:val="bottom"/>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社渚镇</w:t>
            </w:r>
            <w:r>
              <w:rPr>
                <w:rFonts w:hint="eastAsia" w:ascii="宋体" w:hAnsi="宋体" w:eastAsia="宋体" w:cs="宋体"/>
                <w:sz w:val="24"/>
                <w:szCs w:val="24"/>
              </w:rPr>
            </w:r>
            <w:r/>
          </w:p>
        </w:tc>
        <w:tc>
          <w:tcPr>
            <w:tcW w:w="3417"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SO2、NOx、CO、O3、PM10、PM2.5、气象五参数</w:t>
            </w:r>
            <w:r>
              <w:rPr>
                <w:rFonts w:hint="eastAsia" w:ascii="宋体" w:hAnsi="宋体" w:eastAsia="宋体" w:cs="宋体"/>
                <w:sz w:val="24"/>
                <w:szCs w:val="24"/>
              </w:rPr>
            </w:r>
            <w:r/>
          </w:p>
        </w:tc>
      </w:tr>
      <w:tr>
        <w:trPr>
          <w:trHeight w:val="373"/>
        </w:trPr>
        <w:tc>
          <w:tcPr>
            <w:tcW w:w="645"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936" w:type="dxa"/>
            <w:vAlign w:val="bottom"/>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上兴镇</w:t>
            </w:r>
            <w:r>
              <w:rPr>
                <w:rFonts w:hint="eastAsia" w:ascii="宋体" w:hAnsi="宋体" w:eastAsia="宋体" w:cs="宋体"/>
                <w:sz w:val="24"/>
                <w:szCs w:val="24"/>
              </w:rPr>
            </w:r>
            <w:r/>
          </w:p>
        </w:tc>
        <w:tc>
          <w:tcPr>
            <w:tcW w:w="3417"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SO2、NOx、CO、O3、PM10、PM2.5、气象五参数</w:t>
            </w:r>
            <w:r>
              <w:rPr>
                <w:rFonts w:hint="eastAsia" w:ascii="宋体" w:hAnsi="宋体" w:eastAsia="宋体" w:cs="宋体"/>
                <w:sz w:val="24"/>
                <w:szCs w:val="24"/>
              </w:rPr>
            </w:r>
            <w:r/>
          </w:p>
        </w:tc>
      </w:tr>
      <w:tr>
        <w:trPr>
          <w:trHeight w:val="373"/>
        </w:trPr>
        <w:tc>
          <w:tcPr>
            <w:tcW w:w="645"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936" w:type="dxa"/>
            <w:vAlign w:val="bottom"/>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天目湖镇</w:t>
            </w:r>
            <w:r>
              <w:rPr>
                <w:rFonts w:hint="eastAsia" w:ascii="宋体" w:hAnsi="宋体" w:eastAsia="宋体" w:cs="宋体"/>
                <w:sz w:val="24"/>
                <w:szCs w:val="24"/>
              </w:rPr>
            </w:r>
            <w:r/>
          </w:p>
        </w:tc>
        <w:tc>
          <w:tcPr>
            <w:tcW w:w="3417"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SO2、NOx、CO、O3、PM10、PM2.5、气象五参数</w:t>
            </w:r>
            <w:r>
              <w:rPr>
                <w:rFonts w:hint="eastAsia" w:ascii="宋体" w:hAnsi="宋体" w:eastAsia="宋体" w:cs="宋体"/>
                <w:sz w:val="24"/>
                <w:szCs w:val="24"/>
              </w:rPr>
            </w:r>
            <w:r/>
          </w:p>
        </w:tc>
      </w:tr>
      <w:tr>
        <w:trPr>
          <w:trHeight w:val="373"/>
        </w:trPr>
        <w:tc>
          <w:tcPr>
            <w:tcW w:w="645"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936"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戴埠镇</w:t>
            </w:r>
            <w:r>
              <w:rPr>
                <w:rFonts w:hint="eastAsia" w:ascii="宋体" w:hAnsi="宋体" w:eastAsia="宋体" w:cs="宋体"/>
                <w:sz w:val="24"/>
                <w:szCs w:val="24"/>
              </w:rPr>
            </w:r>
            <w:r/>
          </w:p>
        </w:tc>
        <w:tc>
          <w:tcPr>
            <w:tcW w:w="3417"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SO2、NOx、CO、O3、PM10、PM2.5、气象五参数</w:t>
            </w:r>
            <w:r>
              <w:rPr>
                <w:rFonts w:hint="eastAsia" w:ascii="宋体" w:hAnsi="宋体" w:eastAsia="宋体" w:cs="宋体"/>
                <w:sz w:val="24"/>
                <w:szCs w:val="24"/>
              </w:rPr>
            </w:r>
            <w:r/>
          </w:p>
        </w:tc>
      </w:tr>
      <w:tr>
        <w:trPr>
          <w:trHeight w:val="373"/>
        </w:trPr>
        <w:tc>
          <w:tcPr>
            <w:tcW w:w="645"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936"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古县街道</w:t>
            </w:r>
            <w:r>
              <w:rPr>
                <w:rFonts w:hint="eastAsia" w:ascii="宋体" w:hAnsi="宋体" w:eastAsia="宋体" w:cs="宋体"/>
                <w:sz w:val="24"/>
                <w:szCs w:val="24"/>
              </w:rPr>
            </w:r>
            <w:r/>
          </w:p>
        </w:tc>
        <w:tc>
          <w:tcPr>
            <w:tcW w:w="3417"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SO2、NOx、CO、O3、PM10、PM2.5、气象五参数</w:t>
            </w:r>
            <w:r>
              <w:rPr>
                <w:rFonts w:hint="eastAsia" w:ascii="宋体" w:hAnsi="宋体" w:eastAsia="宋体" w:cs="宋体"/>
                <w:sz w:val="24"/>
                <w:szCs w:val="24"/>
              </w:rPr>
            </w:r>
            <w:r/>
          </w:p>
        </w:tc>
      </w:tr>
      <w:tr>
        <w:trPr>
          <w:trHeight w:val="373"/>
        </w:trPr>
        <w:tc>
          <w:tcPr>
            <w:tcW w:w="645"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936"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现代农业产业园</w:t>
            </w:r>
            <w:r>
              <w:rPr>
                <w:rFonts w:hint="eastAsia" w:ascii="宋体" w:hAnsi="宋体" w:eastAsia="宋体" w:cs="宋体"/>
                <w:sz w:val="24"/>
                <w:szCs w:val="24"/>
              </w:rPr>
            </w:r>
            <w:r/>
          </w:p>
        </w:tc>
        <w:tc>
          <w:tcPr>
            <w:tcW w:w="3417" w:type="dxa"/>
            <w:vAlign w:val="center"/>
            <w:textDirection w:val="lrTb"/>
            <w:noWrap w:val="false"/>
          </w:tcPr>
          <w:p>
            <w:pPr>
              <w:pStyle w:val="127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SO2、NOx、CO、O3、PM10、PM2.5、气象五参数</w:t>
            </w:r>
            <w:r>
              <w:rPr>
                <w:rFonts w:hint="eastAsia" w:ascii="宋体" w:hAnsi="宋体" w:eastAsia="宋体" w:cs="宋体"/>
                <w:sz w:val="24"/>
                <w:szCs w:val="24"/>
              </w:rPr>
            </w:r>
            <w:r/>
          </w:p>
        </w:tc>
      </w:tr>
    </w:tbl>
    <w:p>
      <w:pPr>
        <w:pStyle w:val="1270"/>
        <w:ind w:firstLine="482"/>
        <w:jc w:val="left"/>
        <w:pageBreakBefore w:val="0"/>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1、总体要求</w:t>
      </w:r>
      <w:r>
        <w:rPr>
          <w:rFonts w:hint="eastAsia" w:ascii="宋体" w:hAnsi="宋体" w:eastAsia="宋体" w:cs="宋体"/>
          <w:b/>
          <w:bCs/>
          <w:color w:val="000000"/>
          <w:sz w:val="24"/>
          <w:szCs w:val="24"/>
        </w:rPr>
      </w:r>
      <w:r/>
    </w:p>
    <w:p>
      <w:pPr>
        <w:pStyle w:val="1270"/>
        <w:ind w:firstLine="480"/>
        <w:pageBreakBefore w:val="0"/>
        <w:spacing w:line="440" w:lineRule="exact"/>
        <w:rPr>
          <w:rFonts w:hint="eastAsia" w:ascii="宋体" w:hAnsi="宋体" w:eastAsia="宋体" w:cs="宋体"/>
          <w:sz w:val="24"/>
          <w:szCs w:val="24"/>
        </w:rPr>
      </w:pPr>
      <w:r>
        <w:rPr>
          <w:rFonts w:hint="eastAsia" w:ascii="宋体" w:hAnsi="宋体" w:eastAsia="宋体" w:cs="宋体"/>
          <w:color w:val="000000"/>
          <w:sz w:val="24"/>
          <w:szCs w:val="24"/>
        </w:rPr>
        <w:t xml:space="preserve">1.供应商</w:t>
      </w:r>
      <w:r>
        <w:rPr>
          <w:rFonts w:hint="eastAsia" w:ascii="宋体" w:hAnsi="宋体" w:eastAsia="宋体" w:cs="宋体"/>
          <w:color w:val="000000"/>
          <w:sz w:val="24"/>
          <w:szCs w:val="24"/>
        </w:rPr>
        <w:t xml:space="preserve">在项目所在地区域自有或租赁固定的办公场所，</w:t>
      </w:r>
      <w:r>
        <w:rPr>
          <w:rFonts w:hint="eastAsia" w:ascii="宋体" w:hAnsi="宋体" w:eastAsia="宋体" w:cs="宋体"/>
          <w:iCs/>
          <w:color w:val="000000"/>
          <w:sz w:val="24"/>
          <w:szCs w:val="24"/>
        </w:rPr>
        <w:t xml:space="preserve">应保证配备至少3名专业技术人员以及2辆运维专用车辆，</w:t>
      </w:r>
      <w:r>
        <w:rPr>
          <w:rFonts w:hint="eastAsia" w:ascii="宋体" w:hAnsi="宋体" w:eastAsia="宋体" w:cs="宋体"/>
          <w:color w:val="000000"/>
          <w:sz w:val="24"/>
          <w:szCs w:val="24"/>
        </w:rPr>
        <w:t xml:space="preserve">至少具备2年以上运行维护经验（</w:t>
      </w:r>
      <w:r>
        <w:rPr>
          <w:rFonts w:hint="eastAsia" w:ascii="宋体" w:hAnsi="宋体" w:eastAsia="宋体" w:cs="宋体"/>
          <w:sz w:val="24"/>
          <w:szCs w:val="24"/>
        </w:rPr>
        <w:t xml:space="preserve">成交人需安排1名专职工程师开展长期现场维护工作，具体工作由采购方统一安排，包括但不限于数据监控、审核、统计、分析等内容。）</w:t>
      </w:r>
      <w:r>
        <w:rPr>
          <w:rFonts w:hint="eastAsia" w:ascii="宋体" w:hAnsi="宋体" w:eastAsia="宋体" w:cs="宋体"/>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2.供应商应至少配备如下数量的质量控制设备，包括配套的流量计、各种标气等，保证耗材及备件及时供应。</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3.供应商应为运维人员配备专用仪器维修工具（包括万用表、工具箱等）、通讯调试工具（包括各种硬件接口线、改线工具、接口调试软件及常用零部件等）。</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供应商须保证仪器故障发生时间4小时内(8:00-22:00)或8小时内（22:00-8:00）赶到现场进行处理。对于一些易于排除的故障，维修时间不应超过12小时；对不易诊断和维修的仪器故障，若48小时内无法排除，应安装备用仪器。</w:t>
      </w:r>
      <w:r>
        <w:rPr>
          <w:rFonts w:hint="eastAsia" w:ascii="宋体" w:hAnsi="宋体" w:eastAsia="宋体" w:cs="宋体"/>
          <w:color w:val="000000"/>
          <w:sz w:val="24"/>
          <w:szCs w:val="24"/>
        </w:rPr>
      </w:r>
      <w:r/>
    </w:p>
    <w:p>
      <w:pPr>
        <w:pStyle w:val="1270"/>
        <w:ind w:firstLine="482"/>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服务期间应提供免除一切费用的售后服务。如在服务期内出现故障确需更换的零配件等，采购人应尽量确保采购人能更换到原厂同种规格型号的零部件，以确保其正常使用；如因生产厂家停产等客观原因，不能提供同种规格型号的零配件时，应提供同等质量、档次的配件，且不补差价。供应商务必保障仪器设备安全，否则采购人有权追究责任、要求赔偿一切损失。</w:t>
      </w:r>
      <w:r>
        <w:rPr>
          <w:rFonts w:hint="eastAsia" w:ascii="宋体" w:hAnsi="宋体" w:eastAsia="宋体" w:cs="宋体"/>
          <w:b/>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在空气自动监测系统代维及管理期间，供应商应严格按照采购人制订的操作规范和规章制度，对所管理的系统及仪器设备进行规范操作和精心维护及必要维修，保证系统及仪器设备的正常运行，达到常州市生态环境监控中心溧阳分中心提出的系统及仪器设备考核指标要求。成交供应商商必须接受常州市生态环境监控中心溧阳分中心的定期、不定期检查和考核。</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7.成交的供应商按照常州市生态环境监控中心溧阳分中心制定的环境空气自动监测站运行维护细则，做好运维质控管理等工作。</w:t>
      </w:r>
      <w:r>
        <w:rPr>
          <w:rFonts w:hint="eastAsia" w:ascii="宋体" w:hAnsi="宋体" w:eastAsia="宋体" w:cs="宋体"/>
          <w:color w:val="000000"/>
          <w:sz w:val="24"/>
          <w:szCs w:val="24"/>
        </w:rPr>
      </w:r>
      <w:r/>
    </w:p>
    <w:p>
      <w:pPr>
        <w:pStyle w:val="1270"/>
        <w:ind w:left="420"/>
        <w:pageBreakBefore w:val="0"/>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2、运行维护工作目标</w:t>
      </w:r>
      <w:r>
        <w:rPr>
          <w:rFonts w:hint="eastAsia" w:ascii="宋体" w:hAnsi="宋体" w:eastAsia="宋体" w:cs="宋体"/>
          <w:b/>
          <w:bCs/>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1.所获取的有效监测数据必须满足</w:t>
      </w:r>
      <w:bookmarkStart w:id="682" w:name="OLE_LINK23"/>
      <w:r/>
      <w:bookmarkStart w:id="683" w:name="OLE_LINK24"/>
      <w:r>
        <w:rPr>
          <w:rFonts w:hint="eastAsia" w:ascii="宋体" w:hAnsi="宋体" w:eastAsia="宋体" w:cs="宋体"/>
          <w:color w:val="000000"/>
          <w:sz w:val="24"/>
          <w:szCs w:val="24"/>
        </w:rPr>
        <w:t xml:space="preserve">国家《环境空气质量标准》（GB 3095-2012）中规定的污染物浓度数据有效性最低要求</w:t>
      </w:r>
      <w:bookmarkEnd w:id="682"/>
      <w:r/>
      <w:bookmarkEnd w:id="683"/>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2.单站设备运行率必须高于90%(含)，准确率必须高于80%(含)。</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3.异常情况处理率100%。</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设备运行率是指已上传数据量与应上传数据量之比，数据准确率是指有效数据量与应上传数据量之比。</w:t>
      </w:r>
      <w:r>
        <w:rPr>
          <w:rFonts w:hint="eastAsia" w:ascii="宋体" w:hAnsi="宋体" w:eastAsia="宋体" w:cs="宋体"/>
          <w:color w:val="000000"/>
          <w:sz w:val="24"/>
          <w:szCs w:val="24"/>
        </w:rPr>
      </w:r>
      <w:r/>
    </w:p>
    <w:p>
      <w:pPr>
        <w:pStyle w:val="1270"/>
        <w:ind w:left="420"/>
        <w:pageBreakBefore w:val="0"/>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3、运维工作内容</w:t>
      </w:r>
      <w:r>
        <w:rPr>
          <w:rFonts w:hint="eastAsia" w:ascii="宋体" w:hAnsi="宋体" w:eastAsia="宋体" w:cs="宋体"/>
          <w:b/>
          <w:bCs/>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运维过程中主要完成以下工作：</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1.站点的日常运行维护；</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2.站点的设备维护保养及维修；</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3.当仪器出现故障不能及时修复时，应在48小时之内使用备机开展监测；</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当仪器使用过程中，出现损坏报废不能修复时，应在48小时之内使用备机开展监测，并同时报告常州市生态环境监控中心溧阳分中心，常州市生态环境监控中心溧阳分中心组织确认仪器损坏情况及原因，酌情处理。</w:t>
      </w:r>
      <w:r>
        <w:rPr>
          <w:rFonts w:hint="eastAsia" w:ascii="宋体" w:hAnsi="宋体" w:eastAsia="宋体" w:cs="宋体"/>
          <w:color w:val="000000"/>
          <w:sz w:val="24"/>
          <w:szCs w:val="24"/>
        </w:rPr>
      </w:r>
      <w:r/>
    </w:p>
    <w:p>
      <w:pPr>
        <w:pStyle w:val="1270"/>
        <w:ind w:left="420"/>
        <w:pageBreakBefore w:val="0"/>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4、运维工作要求</w:t>
      </w:r>
      <w:r>
        <w:rPr>
          <w:rFonts w:hint="eastAsia" w:ascii="宋体" w:hAnsi="宋体" w:eastAsia="宋体" w:cs="宋体"/>
          <w:b/>
          <w:bCs/>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bookmarkStart w:id="684" w:name="_Toc420511653"/>
      <w:r>
        <w:rPr>
          <w:rFonts w:hint="eastAsia" w:ascii="宋体" w:hAnsi="宋体" w:eastAsia="宋体" w:cs="宋体"/>
          <w:color w:val="000000"/>
          <w:sz w:val="24"/>
          <w:szCs w:val="24"/>
        </w:rPr>
        <w:t xml:space="preserve">1.每日远程检查</w:t>
      </w:r>
      <w:bookmarkEnd w:id="684"/>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运维人员8:00-22:00内至少每两小时远程查看一次监测数据，分析监测数据异常情况，对站点运行情况进行远程诊断和运行管理，同时做好记录，内容包括：</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1.1查看站点数据传输情况及全球眼视频监控系统在线情况；</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1.2根据仪器运行状态参数判断仪器运行是否正常；</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1.3发现运行数据有持续异常值时，应立即通知常州市生态环境监控中心溧阳分中心管理人员，并做好相应记录，经共同讨论研判后决定是否派运维人员奔赴现场查看。</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2.每周巡检</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运维人员每周至少巡检空气自动监测站1次，并做好巡查记录，主要工作包括站房基本功能检查、监测仪运行参数检查和维护等、安全检查和卫生打扫。</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2.1站房基本功能及安全检查</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运维人员进入站房后，应对站点内外环境及站房基本功能是否正常做出检查，并填写相关记录：</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(1)门锁功能是否正常；</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(2)站房照明系统是否正常；</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(3)室内温湿度是否正常；</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(4)站房有无漏水、破损现象；</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(5)检查供电情况，保证系统的正常运行，并应记录用电度数；</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(6)检查排气扇是否正常运转、废气排放口管线等是否正常；</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(7)检查文件（包括维护报表及操作手册）是否归定位；</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(8)避雷及设备接地系统缆线固定是否牢固；</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(9)站房外爬梯是否牢固，爬梯护栏有无生锈情况；</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(10)站点周边有无新增或减少污染源（建筑工地、烟囱等）；</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(11)灭火器等安全设施是否在有效期内，压力是否正常。</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2.2仪器设备功能参数检查及维护</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运维人员应对各仪器设备参数进行检查</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每周工作内容如下：</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(1)查看设备是否齐备，是否有丢失和损坏；检查接地线路是否可靠，排风排气装置工作是否正常，标准气钢瓶阀门是否漏气，标准气的消耗情况；检查各仪器的运行状况，保证系统运行顺畅。</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(2)检查采样和排气管路是否有漏气或堵塞现象，各分析仪器采样流量是否正常。</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(3)检查站点的通讯系统，保证站点与远程监控中心的连接正常，数据传输正常；</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(4)检查监测仪器的采样入口与采样支路管线结合部之间安装的过滤膜的污染情况，每周更换滤膜；</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(5)对颗粒物的采样纸带或滤膜进行检查，如纸带即将用尽，及时进行更换；</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(6)对二氧化硫、一氧化碳、臭氧、氮氧化物分析仪进行零点及标点检查，如果漂移超过国家相关规范要求，需要进行手工校准。</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(7)对气象仪器及能见度仪的运行情况进行检查；</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(8)在冬、夏季节应注意站点房室内外温差，若温差较大，应及时改变站房温度或对采样总管采取适当的控制措施，防止冷凝现象。</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每月工作内容如下：</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(9)清洗PM10和PM2.5切割器，检查β法颗粒物分析仪仪器喷嘴、压环等部件，当出现AQI值大于等于200以上的重污染天气后，应在一周内清洗切割器；</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(10)检查PM10和PM2.5监测仪、气态分析仪、动态校准仪流量，如果超过国家相关规范要求，需要进行校准，检查仪器是否漏气。校准和检查PM10及PM2.5分析仪的温度、气压和时钟；</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(11)检查仪器显示的数据和采集仪的数据之间的一致性；</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(12)对数据进行备份。</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(13)使用指北针或指南针核验气象参数监测仪指北是否无误（偏差超过15°需进行校准）</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每季度工作内容如下：</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(14)至少清洗一次采样总管及采样风机；</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(15)对气态分析仪进行多点线性检查。</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(16)对PM10和PM2.5进行标准膜检查或K0值检查，如果超过国家规范或说明书规定的限值，需要进行校准。</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每半年工作内容如下：</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(17)检查PM2.5和PM10分析仪相对湿度、温度传感器和动态加热装置是否正常工作；</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(18)对动态校准仪流量进行20点检查，必要时校准，采用省环境监测中心提供的臭氧标准源对站点校准设备进行传递，更换零气源净化剂和氧化剂，对零气性能进行检查；</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(19)检查氮氧化物分析仪钼炉转化率。</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(20)每半年使用原厂校准设备校准能见度分析仪，并提交校准报告</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每年（合同期内）工作内容如下：</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(21)对所有的仪器进行预防性维护，按说明书的要求更换备件。</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(22)更换所有泵组件（易损件）。</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其他要求</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(23)每周所更换的气态污染物分析仪滤膜，材料必须为聚四氟乙烯材质；颗粒物滤带应使用原厂滤带，使用后的滤膜和滤带必须记录更换时间，留存备查。</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(24)严禁擅自改变采样管路连接方式和更改仪器参数设置。否则，常州市生态环境监控中心溧阳分中心有权终止合同。</w:t>
      </w:r>
      <w:r>
        <w:rPr>
          <w:rFonts w:hint="eastAsia" w:ascii="宋体" w:hAnsi="宋体" w:eastAsia="宋体" w:cs="宋体"/>
          <w:color w:val="000000"/>
          <w:sz w:val="24"/>
        </w:rPr>
      </w:r>
      <w:r/>
    </w:p>
    <w:p>
      <w:pPr>
        <w:pStyle w:val="1270"/>
        <w:ind w:left="420"/>
        <w:pageBreakBefore w:val="0"/>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5、故障设备维修</w:t>
      </w:r>
      <w:r>
        <w:rPr>
          <w:rFonts w:hint="eastAsia" w:ascii="宋体" w:hAnsi="宋体" w:eastAsia="宋体" w:cs="宋体"/>
          <w:b/>
          <w:bCs/>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(1)运维供应商应建立子站的仪器设备档案，记录其运行、维护、维修及更换状况。</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空气子站仪器设备发生故障时，对于在现场能够明确诊断，并可由简单更换零部件解决的问题，如电磁阀控制失灵、泵膜破损、气路堵塞、灯源老化等，应立即在现场进行检修并解决问题。如现场不能修复，必须在故障发现48小时内使用备用设备替换，并对新安装的仪器进行校准、标定，完成监测数据的有效性检查，保证空气子站系统的持续运行及数据的连续性、有效性。详细记录故障现象与发生时段，并及时报告常州市生态环境监控中心溧阳分中心。</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(3)运维供应商应将更换后的故障设备在一周内完成维修，经过校准检查后做为备用设备入库，并做好相应维修记录。</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(4)运维供应商应建立仪器使用、维护、维修档案，记录仪器使用情况、故障现象、维修过程、更换备件情况等，并填写仪器维护、维修报告表于5个工作日后上报常州市生态环境监控中心溧阳分中心。</w:t>
      </w:r>
      <w:r>
        <w:rPr>
          <w:rFonts w:hint="eastAsia" w:ascii="宋体" w:hAnsi="宋体" w:eastAsia="宋体" w:cs="宋体"/>
          <w:color w:val="000000"/>
          <w:sz w:val="24"/>
        </w:rPr>
      </w:r>
      <w:r/>
    </w:p>
    <w:p>
      <w:pPr>
        <w:pStyle w:val="1270"/>
        <w:ind w:left="420"/>
        <w:pageBreakBefore w:val="0"/>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6、质量控制与管理要求</w:t>
      </w:r>
      <w:r>
        <w:rPr>
          <w:rFonts w:hint="eastAsia" w:ascii="宋体" w:hAnsi="宋体" w:eastAsia="宋体" w:cs="宋体"/>
          <w:b/>
          <w:bCs/>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运维供应商需认真落实质量管理制度，做好相应记录。</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1.量值溯源要求</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1.1供应商在每个站点需配备标准气体，所使用的标准气体须为国家环保部标样所或国家标物中心生产的一级有证标准物质。另外，当钢瓶压力低于150PSIG(1.0MPa)时，标准停止使用。标准气体必须在有效期内使用。</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1.2供应商应每半年对站点所用的零气发生器进行核查，性能指标应符合要求。供应商所用的流量检查设备每年应通过技术监督部门的检定。</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1.3供应商应配备1台臭氧传递设备，每年将质控实验室的臭氧传递设备向江苏省环境监测中心提供的标准设备进行溯源，并用此设备每季度向所运维的子站的校准仪传递一次，每次进行不少于6个点的多点传递（包括零点），两台设备每个浓度点读取10个有效数据，并计算平均值。</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1.4站房内所用温、湿度传感器、气压传感器等应与经过计量部门检定的温湿度计，压力计进行比对，偏差超过±2℃或5%应进行校准或更换。</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2.日常校准要求</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2.1每月进行一次精密度检查(使用上月平均浓度)，每季度进行一次准确度检查(量程范围内5-6个点)，并做好相关记录于5个工作日后上报常州市生态环境监控中心溧阳分中心。</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2.2 PM10、PM2.5设备每月进行一次流量校准，每季度进行一次膜片校准，和检漏检查，每次更换纸带后，应检查仪器的采样流量。在清洗或更换采样管和流量传感器后也应进行检漏和流量检查，并做好相关校准记录并将校准报告及相关参数于5个工作日后上报常州市生态环境监控中心溧阳分中心。</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2.3每季度对仪器设备进行1次多点线性校准，测试数据的线性度应在0.99-1.01之间；仪器进行维修或更换关键零部件后，对仪器进行1次多点校准。并做好校准报告于5个工作日后上报常州市生态环境监控中心溧阳分中心。</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3.仪器设备检查</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每半年对NOx设备钼炉转换率和精密度进行检查，对动态校准设备进行流量、压力检查和检漏检查，对温度、流量、压力等气象参数仪器进行相应测试审核，并填写校准报告于5个工作日后上报常州市生态环境监控中心溧阳分中心。</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4.异常数据的审核与检验</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供应商应对监测数据异常值进行分析，查明原因，如属于系统或仪器故障，应在24小时内处理并上报常州市生态环境监控中心溧阳分中心。</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5.质控审核</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每年进行1次质控审核，审核对象包括所有子站在用和备用仪器设备。</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6.记录上报</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各种技术与质量文件均保持现行有效，可根据管理需要进行调整或修订，巡检记录、维修记录、日常检查与监督抽查等质量保证与质量控制记录均须按要求进行填写，每年进行整理归档，上报常州市生态环境监控中心溧阳分中心。</w:t>
      </w:r>
      <w:r>
        <w:rPr>
          <w:rFonts w:hint="eastAsia" w:ascii="宋体" w:hAnsi="宋体" w:eastAsia="宋体" w:cs="宋体"/>
          <w:color w:val="000000"/>
          <w:sz w:val="24"/>
        </w:rPr>
      </w:r>
      <w:r/>
    </w:p>
    <w:p>
      <w:pPr>
        <w:pStyle w:val="1270"/>
        <w:ind w:left="420"/>
        <w:pageBreakBefore w:val="0"/>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7、监督考核要求</w:t>
      </w:r>
      <w:r>
        <w:rPr>
          <w:rFonts w:hint="eastAsia" w:ascii="宋体" w:hAnsi="宋体" w:eastAsia="宋体" w:cs="宋体"/>
          <w:b/>
          <w:bCs/>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1.运维供应商应承担监测数据的保密责任（签订保密协议），不得利用本项目的数据、档案或有关资料对外开展技术交流、业务联系、数据交换等。否则，常州市生态环境监控中心溧阳分中心有权终止合同。</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2.运维期间出现调整数据、修改参数、改动设备、弄虚作假等违规行为的，一经查实常州市生态环境监控中心溧阳分中心有权终止运维合同。</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常州市生态环境监控中心溧阳分中心组织开展运维管理和质控考核，对达不到运维要求或违规操作的，可以取消该公司在常州市生态环境监控中心溧阳分中心运维投标资格或扣减相应的运维经费，并有权终止运维合同。</w:t>
      </w:r>
      <w:r>
        <w:rPr>
          <w:rFonts w:hint="eastAsia" w:ascii="宋体" w:hAnsi="宋体" w:eastAsia="宋体" w:cs="宋体"/>
          <w:color w:val="000000"/>
          <w:sz w:val="24"/>
        </w:rPr>
      </w:r>
      <w:r/>
    </w:p>
    <w:p>
      <w:pPr>
        <w:pStyle w:val="1275"/>
        <w:ind w:firstLine="480"/>
        <w:pageBreakBefore w:val="0"/>
        <w:spacing w:before="0" w:line="440" w:lineRule="exact"/>
        <w:tabs>
          <w:tab w:val="left" w:pos="567" w:leader="none"/>
        </w:tabs>
        <w:rPr>
          <w:rFonts w:hint="eastAsia" w:ascii="宋体" w:hAnsi="宋体" w:eastAsia="宋体" w:cs="宋体"/>
        </w:rPr>
      </w:pPr>
      <w:r>
        <w:rPr>
          <w:rFonts w:hint="eastAsia" w:ascii="宋体" w:hAnsi="宋体" w:eastAsia="宋体" w:cs="宋体"/>
        </w:rPr>
        <w:t xml:space="preserve">如遇下拨经费额度发生变化时，按照财政最终下拨金额按比例支付。</w:t>
      </w:r>
      <w:r>
        <w:rPr>
          <w:rFonts w:hint="eastAsia" w:ascii="宋体" w:hAnsi="宋体" w:eastAsia="宋体" w:cs="宋体"/>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（1）考核时段内单个站点任一监测项目有效数据量应满足国家《环境空气质量标准》（GB 3095-2012）中规定的污染物浓度数据有效性的最低要求，否则该站点考核总分为0分。</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每月由常州市生态环境监控中心溧阳分中心组织对运维中标单位职责履行情况进行考核，填写考核表。考核采取百分制、单站考核的方式进行，主要包括设备运行率、数据准确率(以下简称两率)、运行维护3部分内容，其中两率考核占50%，运行维护考核占50%。</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（3）两率考核达不到要求或者绩效考核总分低于80的，不予拨付当月运维费；绩效考核总分95（含）分以上的，拨付全额运维费；绩效考核总分在80（含）-95分的，运维费=实际考核得分/100*全额运维费。</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★（4）数据必须真实有效，供应商在近三年内，在环境监测服务活动中必须没有弄虚作假行为若有不实，按提供虚假资料处理。</w:t>
      </w:r>
      <w:r>
        <w:rPr>
          <w:rFonts w:hint="eastAsia" w:ascii="宋体" w:hAnsi="宋体" w:eastAsia="宋体" w:cs="宋体"/>
          <w:color w:val="000000"/>
          <w:sz w:val="24"/>
        </w:rPr>
      </w:r>
      <w:r/>
    </w:p>
    <w:p>
      <w:pPr>
        <w:pStyle w:val="1270"/>
        <w:ind w:left="420"/>
        <w:pageBreakBefore w:val="0"/>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8、考核方案</w:t>
      </w:r>
      <w:r>
        <w:rPr>
          <w:rFonts w:hint="eastAsia" w:ascii="宋体" w:hAnsi="宋体" w:eastAsia="宋体" w:cs="宋体"/>
          <w:b/>
          <w:bCs/>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 1.两率部分(50分)</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(1)单个站点设备运行率必须高于90%(含)，准确率必须高于80%(含)，否则不予支付该站点运维费用。</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①单站监测数据准确率高于95%(含)的，两率得分=50；</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②准确率在90%(含)-95%的，两率得分=实际准确率×50；</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③准确率在80%(含)-90%的，两率得分=实际准确率×90%×50。</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(2)运维供应商若未整改，连续2个月考核未达到条款1的并给予警告；连续3月考核未达到1条款的，终止运维合同。</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(3)运维期间出现调整正常数据、修改正常设备参数等弄虚作假行为的，第一次通报批评，处以2倍月运维费罚款，第二次将移交上级部门依法处理，并终止运维合同。</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2.运行维护部分(40分)</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运行维护部分每月由常州市生态环境监控中心溧阳分中心组织核查，内容包括日常运维操作、质量保证与控制2部分，其中，日常运维操作和质量保证与控制各占20分，满分40分，采用扣分制。</w:t>
      </w:r>
      <w:r>
        <w:rPr>
          <w:rFonts w:hint="eastAsia" w:ascii="宋体" w:hAnsi="宋体" w:eastAsia="宋体" w:cs="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2"/>
        <w:gridCol w:w="960"/>
        <w:gridCol w:w="5101"/>
        <w:gridCol w:w="528"/>
        <w:gridCol w:w="1997"/>
      </w:tblGrid>
      <w:tr>
        <w:trPr>
          <w:trHeight w:val="566"/>
          <w:tblHeader/>
        </w:trPr>
        <w:tc>
          <w:tcPr>
            <w:tcW w:w="1382" w:type="dxa"/>
            <w:vAlign w:val="center"/>
            <w:textDirection w:val="lrTb"/>
            <w:noWrap w:val="false"/>
          </w:tcPr>
          <w:p>
            <w:pPr>
              <w:pStyle w:val="1270"/>
              <w:jc w:val="center"/>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项目</w:t>
            </w:r>
            <w:r>
              <w:rPr>
                <w:rFonts w:hint="eastAsia" w:ascii="宋体" w:hAnsi="宋体" w:eastAsia="宋体" w:cs="宋体"/>
                <w:color w:val="000000"/>
                <w:sz w:val="24"/>
              </w:rPr>
            </w:r>
            <w:r/>
          </w:p>
        </w:tc>
        <w:tc>
          <w:tcPr>
            <w:tcW w:w="960" w:type="dxa"/>
            <w:vAlign w:val="center"/>
            <w:textDirection w:val="lrTb"/>
            <w:noWrap w:val="false"/>
          </w:tcPr>
          <w:p>
            <w:pPr>
              <w:pStyle w:val="1270"/>
              <w:jc w:val="center"/>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明细</w:t>
            </w:r>
            <w:r>
              <w:rPr>
                <w:rFonts w:hint="eastAsia" w:ascii="宋体" w:hAnsi="宋体" w:eastAsia="宋体" w:cs="宋体"/>
                <w:color w:val="000000"/>
                <w:sz w:val="24"/>
              </w:rPr>
            </w:r>
            <w:r/>
          </w:p>
        </w:tc>
        <w:tc>
          <w:tcPr>
            <w:tcW w:w="5101" w:type="dxa"/>
            <w:vAlign w:val="center"/>
            <w:textDirection w:val="lrTb"/>
            <w:noWrap w:val="false"/>
          </w:tcPr>
          <w:p>
            <w:pPr>
              <w:pStyle w:val="1270"/>
              <w:jc w:val="center"/>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检查要点</w:t>
            </w:r>
            <w:r>
              <w:rPr>
                <w:rFonts w:hint="eastAsia" w:ascii="宋体" w:hAnsi="宋体" w:eastAsia="宋体" w:cs="宋体"/>
                <w:color w:val="000000"/>
                <w:sz w:val="24"/>
              </w:rPr>
            </w:r>
            <w:r/>
          </w:p>
        </w:tc>
        <w:tc>
          <w:tcPr>
            <w:tcW w:w="528" w:type="dxa"/>
            <w:vAlign w:val="center"/>
            <w:textDirection w:val="lrTb"/>
            <w:noWrap w:val="false"/>
          </w:tcPr>
          <w:p>
            <w:pPr>
              <w:pStyle w:val="1270"/>
              <w:jc w:val="center"/>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得分</w:t>
            </w:r>
            <w:r>
              <w:rPr>
                <w:rFonts w:hint="eastAsia" w:ascii="宋体" w:hAnsi="宋体" w:eastAsia="宋体" w:cs="宋体"/>
                <w:color w:val="000000"/>
                <w:sz w:val="24"/>
              </w:rPr>
            </w:r>
            <w:r/>
          </w:p>
        </w:tc>
        <w:tc>
          <w:tcPr>
            <w:tcW w:w="1997" w:type="dxa"/>
            <w:vAlign w:val="center"/>
            <w:textDirection w:val="lrTb"/>
            <w:noWrap w:val="false"/>
          </w:tcPr>
          <w:p>
            <w:pPr>
              <w:pStyle w:val="1270"/>
              <w:jc w:val="center"/>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评分说明</w:t>
            </w:r>
            <w:r>
              <w:rPr>
                <w:rFonts w:hint="eastAsia" w:ascii="宋体" w:hAnsi="宋体" w:eastAsia="宋体" w:cs="宋体"/>
                <w:color w:val="000000"/>
                <w:sz w:val="24"/>
              </w:rPr>
            </w:r>
            <w:r/>
          </w:p>
        </w:tc>
      </w:tr>
      <w:tr>
        <w:trPr>
          <w:trHeight w:val="720"/>
        </w:trPr>
        <w:tc>
          <w:tcPr>
            <w:tcW w:w="1382" w:type="dxa"/>
            <w:vAlign w:val="center"/>
            <w:vMerge w:val="restart"/>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日常运维操作</w:t>
            </w:r>
            <w:r>
              <w:rPr>
                <w:rFonts w:hint="eastAsia" w:ascii="宋体" w:hAnsi="宋体" w:eastAsia="宋体" w:cs="宋体"/>
                <w:color w:val="000000"/>
                <w:sz w:val="24"/>
              </w:rPr>
            </w:r>
            <w:r/>
          </w:p>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（20）</w:t>
            </w:r>
            <w:r>
              <w:rPr>
                <w:rFonts w:hint="eastAsia" w:ascii="宋体" w:hAnsi="宋体" w:eastAsia="宋体" w:cs="宋体"/>
                <w:color w:val="000000"/>
                <w:sz w:val="24"/>
              </w:rPr>
            </w:r>
            <w:r/>
          </w:p>
        </w:tc>
        <w:tc>
          <w:tcPr>
            <w:tcW w:w="960"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站房环境保障情况</w:t>
            </w:r>
            <w:r>
              <w:rPr>
                <w:rFonts w:hint="eastAsia" w:ascii="宋体" w:hAnsi="宋体" w:eastAsia="宋体" w:cs="宋体"/>
                <w:color w:val="000000"/>
                <w:sz w:val="24"/>
              </w:rPr>
            </w:r>
            <w:r/>
          </w:p>
        </w:tc>
        <w:tc>
          <w:tcPr>
            <w:tcW w:w="5101"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站房环境是否清洁，有无漏水现象，是否符合监测要求,站房温湿度是否正常，空调、照明等是否正常</w:t>
            </w:r>
            <w:r>
              <w:rPr>
                <w:rFonts w:hint="eastAsia" w:ascii="宋体" w:hAnsi="宋体" w:eastAsia="宋体" w:cs="宋体"/>
                <w:color w:val="000000"/>
                <w:sz w:val="24"/>
              </w:rPr>
            </w:r>
            <w:r/>
          </w:p>
        </w:tc>
        <w:tc>
          <w:tcPr>
            <w:tcW w:w="52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97" w:type="dxa"/>
            <w:vAlign w:val="center"/>
            <w:vMerge w:val="restart"/>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1、根据实际情况扣0.5～1分，第二季度出现上季度同一故障的加倍扣分</w:t>
            </w:r>
            <w:r>
              <w:rPr>
                <w:rFonts w:hint="eastAsia" w:ascii="宋体" w:hAnsi="宋体" w:eastAsia="宋体" w:cs="宋体"/>
                <w:color w:val="000000"/>
                <w:sz w:val="24"/>
              </w:rPr>
            </w:r>
            <w:r/>
          </w:p>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2、出现以下情况者，一经发现当月每次(项)扣5分。主要包括使用过期标气或二级标气；颗粒物分析仪器使用国产滤带；气态污染物使用非聚四氟乙烯材质滤膜等。</w:t>
            </w:r>
            <w:r>
              <w:rPr>
                <w:rFonts w:hint="eastAsia" w:ascii="宋体" w:hAnsi="宋体" w:eastAsia="宋体" w:cs="宋体"/>
                <w:color w:val="000000"/>
                <w:sz w:val="24"/>
              </w:rPr>
            </w:r>
            <w:r/>
          </w:p>
        </w:tc>
      </w:tr>
      <w:tr>
        <w:trPr>
          <w:trHeight w:val="566"/>
        </w:trPr>
        <w:tc>
          <w:tcPr>
            <w:tcW w:w="1382"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60" w:type="dxa"/>
            <w:vAlign w:val="center"/>
            <w:vMerge w:val="restart"/>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采样系统维护效果</w:t>
            </w:r>
            <w:r>
              <w:rPr>
                <w:rFonts w:hint="eastAsia" w:ascii="宋体" w:hAnsi="宋体" w:eastAsia="宋体" w:cs="宋体"/>
                <w:color w:val="000000"/>
                <w:sz w:val="24"/>
              </w:rPr>
            </w:r>
            <w:r/>
          </w:p>
        </w:tc>
        <w:tc>
          <w:tcPr>
            <w:tcW w:w="5101"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采样总管和采样支管材质是否满足《规范》要求</w:t>
            </w:r>
            <w:r>
              <w:rPr>
                <w:rFonts w:hint="eastAsia" w:ascii="宋体" w:hAnsi="宋体" w:eastAsia="宋体" w:cs="宋体"/>
                <w:color w:val="000000"/>
                <w:sz w:val="24"/>
              </w:rPr>
            </w:r>
            <w:r/>
          </w:p>
        </w:tc>
        <w:tc>
          <w:tcPr>
            <w:tcW w:w="52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97"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566"/>
        </w:trPr>
        <w:tc>
          <w:tcPr>
            <w:tcW w:w="1382"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60"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5101"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采样系统清洁程度：采样头、采样管道是否清洁，有无积灰、积水或障碍物，</w:t>
            </w:r>
            <w:r>
              <w:rPr>
                <w:rFonts w:hint="eastAsia" w:ascii="宋体" w:hAnsi="宋体" w:eastAsia="宋体" w:cs="宋体"/>
                <w:bCs/>
                <w:color w:val="000000"/>
                <w:sz w:val="24"/>
              </w:rPr>
              <w:t xml:space="preserve">采样风机是否正常工作</w:t>
            </w:r>
            <w:r>
              <w:rPr>
                <w:rFonts w:hint="eastAsia" w:ascii="宋体" w:hAnsi="宋体" w:eastAsia="宋体" w:cs="宋体"/>
                <w:color w:val="000000"/>
                <w:sz w:val="24"/>
              </w:rPr>
            </w:r>
            <w:r/>
          </w:p>
        </w:tc>
        <w:tc>
          <w:tcPr>
            <w:tcW w:w="52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97"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566"/>
        </w:trPr>
        <w:tc>
          <w:tcPr>
            <w:tcW w:w="1382"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60"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5101"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气态污染物采样支管是否插入采样总管的中心，监测仪器与支管接头连接的管线长度是否小于3m</w:t>
            </w:r>
            <w:r>
              <w:rPr>
                <w:rFonts w:hint="eastAsia" w:ascii="宋体" w:hAnsi="宋体" w:eastAsia="宋体" w:cs="宋体"/>
                <w:color w:val="000000"/>
                <w:sz w:val="24"/>
              </w:rPr>
            </w:r>
            <w:r/>
          </w:p>
        </w:tc>
        <w:tc>
          <w:tcPr>
            <w:tcW w:w="52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97"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566"/>
        </w:trPr>
        <w:tc>
          <w:tcPr>
            <w:tcW w:w="1382"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60"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5101"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采样管路联接是否规范，</w:t>
            </w:r>
            <w:r>
              <w:rPr>
                <w:rFonts w:hint="eastAsia" w:ascii="宋体" w:hAnsi="宋体" w:eastAsia="宋体" w:cs="宋体"/>
                <w:color w:val="000000"/>
                <w:sz w:val="24"/>
              </w:rPr>
            </w:r>
            <w:r/>
          </w:p>
        </w:tc>
        <w:tc>
          <w:tcPr>
            <w:tcW w:w="52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97"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566"/>
        </w:trPr>
        <w:tc>
          <w:tcPr>
            <w:tcW w:w="1382"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60"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5101"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采样总管是否有加热装置，加热功能是否正常</w:t>
            </w:r>
            <w:r>
              <w:rPr>
                <w:rFonts w:hint="eastAsia" w:ascii="宋体" w:hAnsi="宋体" w:eastAsia="宋体" w:cs="宋体"/>
                <w:color w:val="000000"/>
                <w:sz w:val="24"/>
              </w:rPr>
            </w:r>
            <w:r/>
          </w:p>
        </w:tc>
        <w:tc>
          <w:tcPr>
            <w:tcW w:w="52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97"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823"/>
        </w:trPr>
        <w:tc>
          <w:tcPr>
            <w:tcW w:w="1382"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60" w:type="dxa"/>
            <w:vAlign w:val="center"/>
            <w:vMerge w:val="restart"/>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仪器日常维护效果</w:t>
            </w:r>
            <w:r>
              <w:rPr>
                <w:rFonts w:hint="eastAsia" w:ascii="宋体" w:hAnsi="宋体" w:eastAsia="宋体" w:cs="宋体"/>
                <w:color w:val="000000"/>
                <w:sz w:val="24"/>
              </w:rPr>
            </w:r>
            <w:r/>
          </w:p>
        </w:tc>
        <w:tc>
          <w:tcPr>
            <w:tcW w:w="5101"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仪器工作状态是否正常，是否存在报警信息</w:t>
            </w:r>
            <w:r>
              <w:rPr>
                <w:rFonts w:hint="eastAsia" w:ascii="宋体" w:hAnsi="宋体" w:eastAsia="宋体" w:cs="宋体"/>
                <w:color w:val="000000"/>
                <w:sz w:val="24"/>
              </w:rPr>
            </w:r>
            <w:r/>
          </w:p>
        </w:tc>
        <w:tc>
          <w:tcPr>
            <w:tcW w:w="52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97"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566"/>
        </w:trPr>
        <w:tc>
          <w:tcPr>
            <w:tcW w:w="1382"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60"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5101"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仪器过滤膜是否及时更换，散热风扇是否及时清洗</w:t>
            </w:r>
            <w:r>
              <w:rPr>
                <w:rFonts w:hint="eastAsia" w:ascii="宋体" w:hAnsi="宋体" w:eastAsia="宋体" w:cs="宋体"/>
                <w:color w:val="000000"/>
                <w:sz w:val="24"/>
              </w:rPr>
            </w:r>
            <w:r/>
          </w:p>
        </w:tc>
        <w:tc>
          <w:tcPr>
            <w:tcW w:w="52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97"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566"/>
        </w:trPr>
        <w:tc>
          <w:tcPr>
            <w:tcW w:w="1382"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60"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5101"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颗粒物采样管加热装置是否工作正常</w:t>
            </w:r>
            <w:r>
              <w:rPr>
                <w:rFonts w:hint="eastAsia" w:ascii="宋体" w:hAnsi="宋体" w:eastAsia="宋体" w:cs="宋体"/>
                <w:color w:val="000000"/>
                <w:sz w:val="24"/>
              </w:rPr>
            </w:r>
            <w:r/>
          </w:p>
        </w:tc>
        <w:tc>
          <w:tcPr>
            <w:tcW w:w="52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97"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566"/>
        </w:trPr>
        <w:tc>
          <w:tcPr>
            <w:tcW w:w="1382"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60"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5101"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零气发生器相关耗材是否及时更换</w:t>
            </w:r>
            <w:r>
              <w:rPr>
                <w:rFonts w:hint="eastAsia" w:ascii="宋体" w:hAnsi="宋体" w:eastAsia="宋体" w:cs="宋体"/>
                <w:color w:val="000000"/>
                <w:sz w:val="24"/>
              </w:rPr>
            </w:r>
            <w:r/>
          </w:p>
        </w:tc>
        <w:tc>
          <w:tcPr>
            <w:tcW w:w="52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97"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566"/>
        </w:trPr>
        <w:tc>
          <w:tcPr>
            <w:tcW w:w="1382"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60"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5101"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采样泵相关耗材是否及时更换</w:t>
            </w:r>
            <w:r>
              <w:rPr>
                <w:rFonts w:hint="eastAsia" w:ascii="宋体" w:hAnsi="宋体" w:eastAsia="宋体" w:cs="宋体"/>
                <w:color w:val="000000"/>
                <w:sz w:val="24"/>
              </w:rPr>
            </w:r>
            <w:r/>
          </w:p>
        </w:tc>
        <w:tc>
          <w:tcPr>
            <w:tcW w:w="52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97"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566"/>
        </w:trPr>
        <w:tc>
          <w:tcPr>
            <w:tcW w:w="1382"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60"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5101"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采样纸带或滤膜是否及时更换</w:t>
            </w:r>
            <w:r>
              <w:rPr>
                <w:rFonts w:hint="eastAsia" w:ascii="宋体" w:hAnsi="宋体" w:eastAsia="宋体" w:cs="宋体"/>
                <w:color w:val="000000"/>
                <w:sz w:val="24"/>
              </w:rPr>
            </w:r>
            <w:r/>
          </w:p>
        </w:tc>
        <w:tc>
          <w:tcPr>
            <w:tcW w:w="52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97"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566"/>
        </w:trPr>
        <w:tc>
          <w:tcPr>
            <w:tcW w:w="1382" w:type="dxa"/>
            <w:vAlign w:val="center"/>
            <w:vMerge w:val="restart"/>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质量保证与质量控制（20分）</w:t>
            </w:r>
            <w:r>
              <w:rPr>
                <w:rFonts w:hint="eastAsia" w:ascii="宋体" w:hAnsi="宋体" w:eastAsia="宋体" w:cs="宋体"/>
                <w:color w:val="000000"/>
                <w:sz w:val="24"/>
              </w:rPr>
            </w:r>
            <w:r/>
          </w:p>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60" w:type="dxa"/>
            <w:vAlign w:val="center"/>
            <w:vMerge w:val="restart"/>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仪器运维状态核查</w:t>
            </w:r>
            <w:r>
              <w:rPr>
                <w:rFonts w:hint="eastAsia" w:ascii="宋体" w:hAnsi="宋体" w:eastAsia="宋体" w:cs="宋体"/>
                <w:color w:val="000000"/>
                <w:sz w:val="24"/>
              </w:rPr>
            </w:r>
            <w:r/>
          </w:p>
        </w:tc>
        <w:tc>
          <w:tcPr>
            <w:tcW w:w="5101"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标气压力低于1.5Mpa，但仍能正常使用；</w:t>
            </w:r>
            <w:r>
              <w:rPr>
                <w:rFonts w:hint="eastAsia" w:ascii="宋体" w:hAnsi="宋体" w:eastAsia="宋体" w:cs="宋体"/>
                <w:color w:val="000000"/>
                <w:sz w:val="24"/>
              </w:rPr>
            </w:r>
            <w:r/>
          </w:p>
        </w:tc>
        <w:tc>
          <w:tcPr>
            <w:tcW w:w="52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97" w:type="dxa"/>
            <w:vAlign w:val="center"/>
            <w:vMerge w:val="restart"/>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根据常州市生态环境监控中心溧阳分中心质控核查情况打分，出现此类现场的，根据影响数据质量的严重程度扣分，每项0.5～1分，1、根据实际情况扣0.5～1分，第二季度出现上季度同一故障的加倍扣分</w:t>
            </w:r>
            <w:r>
              <w:rPr>
                <w:rFonts w:hint="eastAsia" w:ascii="宋体" w:hAnsi="宋体" w:eastAsia="宋体" w:cs="宋体"/>
                <w:color w:val="000000"/>
                <w:sz w:val="24"/>
              </w:rPr>
            </w:r>
            <w:r/>
          </w:p>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10"/>
        </w:trPr>
        <w:tc>
          <w:tcPr>
            <w:tcW w:w="1382"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60"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5101"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气态污染物分析仪内部性能参数超过标准要求，如机体内部温度，反应室温度、压力等；</w:t>
            </w:r>
            <w:r>
              <w:rPr>
                <w:rFonts w:hint="eastAsia" w:ascii="宋体" w:hAnsi="宋体" w:eastAsia="宋体" w:cs="宋体"/>
                <w:color w:val="000000"/>
                <w:sz w:val="24"/>
              </w:rPr>
            </w:r>
            <w:r/>
          </w:p>
        </w:tc>
        <w:tc>
          <w:tcPr>
            <w:tcW w:w="52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97"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566"/>
        </w:trPr>
        <w:tc>
          <w:tcPr>
            <w:tcW w:w="1382"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60"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5101"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颗粒物分析仪密封圈缺失，温度、压力偏差，气态污染物分析仪散热风扇故障</w:t>
            </w:r>
            <w:r>
              <w:rPr>
                <w:rFonts w:hint="eastAsia" w:ascii="宋体" w:hAnsi="宋体" w:eastAsia="宋体" w:cs="宋体"/>
                <w:color w:val="000000"/>
                <w:sz w:val="24"/>
              </w:rPr>
            </w:r>
            <w:r/>
          </w:p>
        </w:tc>
        <w:tc>
          <w:tcPr>
            <w:tcW w:w="52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97"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758"/>
        </w:trPr>
        <w:tc>
          <w:tcPr>
            <w:tcW w:w="1382"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60"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5101"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零气和校准仪性能参数超过偏差允许范围</w:t>
            </w:r>
            <w:r>
              <w:rPr>
                <w:rFonts w:hint="eastAsia" w:ascii="宋体" w:hAnsi="宋体" w:eastAsia="宋体" w:cs="宋体"/>
                <w:color w:val="000000"/>
                <w:sz w:val="24"/>
              </w:rPr>
            </w:r>
            <w:r/>
          </w:p>
        </w:tc>
        <w:tc>
          <w:tcPr>
            <w:tcW w:w="52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97"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566"/>
        </w:trPr>
        <w:tc>
          <w:tcPr>
            <w:tcW w:w="1382"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60"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5101"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气态污染物或颗粒物分析仪采样流量或标况流量偏差</w:t>
            </w:r>
            <w:r>
              <w:rPr>
                <w:rFonts w:hint="eastAsia" w:ascii="宋体" w:hAnsi="宋体" w:eastAsia="宋体" w:cs="宋体"/>
                <w:color w:val="000000"/>
                <w:sz w:val="24"/>
              </w:rPr>
            </w:r>
            <w:r/>
          </w:p>
        </w:tc>
        <w:tc>
          <w:tcPr>
            <w:tcW w:w="52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97"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566"/>
        </w:trPr>
        <w:tc>
          <w:tcPr>
            <w:tcW w:w="1382"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60"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5101"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气态污染物分析仪零点、20%（或其他点）全幅测试未通过或T90响应时间未通过</w:t>
            </w:r>
            <w:r>
              <w:rPr>
                <w:rFonts w:hint="eastAsia" w:ascii="宋体" w:hAnsi="宋体" w:eastAsia="宋体" w:cs="宋体"/>
                <w:color w:val="000000"/>
                <w:sz w:val="24"/>
              </w:rPr>
            </w:r>
            <w:r/>
          </w:p>
        </w:tc>
        <w:tc>
          <w:tcPr>
            <w:tcW w:w="52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97"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566"/>
        </w:trPr>
        <w:tc>
          <w:tcPr>
            <w:tcW w:w="1382"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60"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5101"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颗粒物分析仪采样斑点有残缺或穿孔现象</w:t>
            </w:r>
            <w:r>
              <w:rPr>
                <w:rFonts w:hint="eastAsia" w:ascii="宋体" w:hAnsi="宋体" w:eastAsia="宋体" w:cs="宋体"/>
                <w:color w:val="000000"/>
                <w:sz w:val="24"/>
              </w:rPr>
            </w:r>
            <w:r/>
          </w:p>
        </w:tc>
        <w:tc>
          <w:tcPr>
            <w:tcW w:w="52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97"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566"/>
        </w:trPr>
        <w:tc>
          <w:tcPr>
            <w:tcW w:w="1382"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60"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5101"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颗粒物分析仪采样斑点测漏测试未通过</w:t>
            </w:r>
            <w:r>
              <w:rPr>
                <w:rFonts w:hint="eastAsia" w:ascii="宋体" w:hAnsi="宋体" w:eastAsia="宋体" w:cs="宋体"/>
                <w:color w:val="000000"/>
                <w:sz w:val="24"/>
              </w:rPr>
            </w:r>
            <w:r/>
          </w:p>
        </w:tc>
        <w:tc>
          <w:tcPr>
            <w:tcW w:w="52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97"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r>
    </w:tbl>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3.档案管理部分（10分）</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（1）运维人员每日、周、月应提交的值班记录等，缺失每次(项)扣0.5分；</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（2）现场运维每周例行巡检记录，缺失每次(项)扣0.5分，包括标气使用状况记录、用电记录、仪器运行参数记录等；</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（3）每周现场进行手工校零校标检查和校准，并填写相关记录，缺失每参数当月扣2分；</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（4）每月至少检查一次气态污染物、颗粒物监测仪流量并填写相关记录，缺失每参数当月扣2分；</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（5）每季度进行气态污染物多点线性检查、精密度检查；颗粒物监测仪膜片检查和测漏检查并填写相关记录，缺失每参数当季度每月扣2分；</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（6）每半年进行一次动态校准仪质量流量控制器多点校准并填写相关记录，缺失每参数当季度每月扣3分；</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（7）每半年对NOx设备钼炉转换率和精密度进行检查并填写相关记录，缺失当季度每月扣3分；</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（8）每年开展现场臭氧工作标准量值溯源工作，每季度提交子站臭氧传递报告，缺失当季度每月扣3分。</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9）当乡镇站每日8时～10时出现故障，应在1小时之内响应，4小时内到达现场解决（通信线路、电力线路故障除外，但应及时与相关部门联系积极解决）。若仪器故障无法排除，运维供应商必须在48小时内提供并更换相应的备机，保证自动站正常运行。未做到的扣除3分</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考核总分（100分）</w:t>
      </w:r>
      <w:r>
        <w:rPr>
          <w:rFonts w:hint="eastAsia" w:ascii="宋体" w:hAnsi="宋体" w:eastAsia="宋体" w:cs="宋体"/>
          <w:color w:val="000000"/>
          <w:sz w:val="24"/>
        </w:rPr>
      </w:r>
      <w:r/>
    </w:p>
    <w:p>
      <w:pPr>
        <w:pStyle w:val="1270"/>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考核总分=两率得分+运维得分+档案管理得分，见下表。</w:t>
      </w:r>
      <w:r>
        <w:rPr>
          <w:rFonts w:hint="eastAsia" w:ascii="宋体" w:hAnsi="宋体" w:eastAsia="宋体" w:cs="宋体"/>
          <w:color w:val="000000"/>
          <w:sz w:val="24"/>
        </w:rPr>
      </w:r>
      <w:r/>
    </w:p>
    <w:p>
      <w:pPr>
        <w:pStyle w:val="1270"/>
        <w:jc w:val="center"/>
        <w:pageBreakBefore w:val="0"/>
        <w:spacing w:line="440" w:lineRule="exact"/>
        <w:rPr>
          <w:rFonts w:hint="eastAsia" w:ascii="宋体" w:hAnsi="宋体" w:eastAsia="宋体" w:cs="宋体"/>
          <w:b/>
          <w:color w:val="000000"/>
          <w:sz w:val="24"/>
        </w:rPr>
      </w:pPr>
      <w:r>
        <w:rPr>
          <w:rFonts w:hint="eastAsia" w:ascii="宋体" w:hAnsi="宋体" w:eastAsia="宋体" w:cs="宋体"/>
          <w:b/>
          <w:color w:val="000000"/>
          <w:sz w:val="24"/>
        </w:rPr>
        <w:t xml:space="preserve">空气自动监测站运维情况考核表</w:t>
      </w:r>
      <w:r>
        <w:rPr>
          <w:rFonts w:hint="eastAsia" w:ascii="宋体" w:hAnsi="宋体" w:eastAsia="宋体" w:cs="宋体"/>
          <w:b/>
          <w:color w:val="000000"/>
          <w:sz w:val="24"/>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05"/>
        <w:gridCol w:w="3755"/>
        <w:gridCol w:w="1920"/>
        <w:gridCol w:w="1367"/>
      </w:tblGrid>
      <w:tr>
        <w:trPr>
          <w:trHeight w:val="426"/>
        </w:trPr>
        <w:tc>
          <w:tcPr>
            <w:tcW w:w="1350"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bookmarkStart w:id="685" w:name="_Toc420511657"/>
            <w:r>
              <w:rPr>
                <w:rFonts w:hint="eastAsia" w:ascii="宋体" w:hAnsi="宋体" w:eastAsia="宋体" w:cs="宋体"/>
                <w:color w:val="000000"/>
                <w:sz w:val="24"/>
              </w:rPr>
              <w:t xml:space="preserve">考核月份：</w:t>
            </w:r>
            <w:r>
              <w:rPr>
                <w:rFonts w:hint="eastAsia" w:ascii="宋体" w:hAnsi="宋体" w:eastAsia="宋体" w:cs="宋体"/>
                <w:color w:val="000000"/>
                <w:sz w:val="24"/>
              </w:rPr>
            </w:r>
            <w:r/>
          </w:p>
        </w:tc>
        <w:tc>
          <w:tcPr>
            <w:gridSpan w:val="3"/>
            <w:tcW w:w="7042" w:type="dxa"/>
            <w:vAlign w:val="center"/>
            <w:textDirection w:val="lrTb"/>
            <w:noWrap w:val="false"/>
          </w:tcPr>
          <w:p>
            <w:pPr>
              <w:pStyle w:val="1270"/>
              <w:ind w:firstLine="72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年      月  </w:t>
            </w:r>
            <w:r>
              <w:rPr>
                <w:rFonts w:hint="eastAsia" w:ascii="宋体" w:hAnsi="宋体" w:eastAsia="宋体" w:cs="宋体"/>
                <w:color w:val="000000"/>
                <w:sz w:val="24"/>
              </w:rPr>
            </w:r>
            <w:r/>
          </w:p>
        </w:tc>
      </w:tr>
      <w:tr>
        <w:trPr>
          <w:trHeight w:val="426"/>
        </w:trPr>
        <w:tc>
          <w:tcPr>
            <w:tcW w:w="1350"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站点名称：</w:t>
            </w:r>
            <w:r>
              <w:rPr>
                <w:rFonts w:hint="eastAsia" w:ascii="宋体" w:hAnsi="宋体" w:eastAsia="宋体" w:cs="宋体"/>
                <w:color w:val="000000"/>
                <w:sz w:val="24"/>
              </w:rPr>
            </w:r>
            <w:r/>
          </w:p>
        </w:tc>
        <w:tc>
          <w:tcPr>
            <w:gridSpan w:val="3"/>
            <w:tcW w:w="7042"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26"/>
        </w:trPr>
        <w:tc>
          <w:tcPr>
            <w:tcW w:w="1350"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运维供应商：</w:t>
            </w:r>
            <w:r>
              <w:rPr>
                <w:rFonts w:hint="eastAsia" w:ascii="宋体" w:hAnsi="宋体" w:eastAsia="宋体" w:cs="宋体"/>
                <w:color w:val="000000"/>
                <w:sz w:val="24"/>
              </w:rPr>
            </w:r>
            <w:r/>
          </w:p>
        </w:tc>
        <w:tc>
          <w:tcPr>
            <w:gridSpan w:val="3"/>
            <w:tcW w:w="7042"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26"/>
        </w:trPr>
        <w:tc>
          <w:tcPr>
            <w:tcW w:w="1350"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项目</w:t>
            </w:r>
            <w:r>
              <w:rPr>
                <w:rFonts w:hint="eastAsia" w:ascii="宋体" w:hAnsi="宋体" w:eastAsia="宋体" w:cs="宋体"/>
                <w:color w:val="000000"/>
                <w:sz w:val="24"/>
              </w:rPr>
            </w:r>
            <w:r/>
          </w:p>
        </w:tc>
        <w:tc>
          <w:tcPr>
            <w:tcW w:w="1945"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考核内容</w:t>
            </w:r>
            <w:r>
              <w:rPr>
                <w:rFonts w:hint="eastAsia" w:ascii="宋体" w:hAnsi="宋体" w:eastAsia="宋体" w:cs="宋体"/>
                <w:color w:val="000000"/>
                <w:sz w:val="24"/>
              </w:rPr>
            </w:r>
            <w:r/>
          </w:p>
        </w:tc>
        <w:tc>
          <w:tcPr>
            <w:tcW w:w="995" w:type="dxa"/>
            <w:vAlign w:val="center"/>
            <w:textDirection w:val="lrTb"/>
            <w:noWrap w:val="false"/>
          </w:tcPr>
          <w:p>
            <w:pPr>
              <w:pStyle w:val="1270"/>
              <w:jc w:val="center"/>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得分</w:t>
            </w:r>
            <w:r>
              <w:rPr>
                <w:rFonts w:hint="eastAsia" w:ascii="宋体" w:hAnsi="宋体" w:eastAsia="宋体" w:cs="宋体"/>
                <w:color w:val="000000"/>
                <w:sz w:val="24"/>
              </w:rPr>
            </w:r>
            <w:r/>
          </w:p>
        </w:tc>
        <w:tc>
          <w:tcPr>
            <w:tcW w:w="708" w:type="dxa"/>
            <w:vAlign w:val="center"/>
            <w:textDirection w:val="lrTb"/>
            <w:noWrap w:val="false"/>
          </w:tcPr>
          <w:p>
            <w:pPr>
              <w:pStyle w:val="1270"/>
              <w:jc w:val="center"/>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说明</w:t>
            </w:r>
            <w:r>
              <w:rPr>
                <w:rFonts w:hint="eastAsia" w:ascii="宋体" w:hAnsi="宋体" w:eastAsia="宋体" w:cs="宋体"/>
                <w:color w:val="000000"/>
                <w:sz w:val="24"/>
              </w:rPr>
            </w:r>
            <w:r/>
          </w:p>
        </w:tc>
      </w:tr>
      <w:tr>
        <w:trPr>
          <w:trHeight w:val="84"/>
        </w:trPr>
        <w:tc>
          <w:tcPr>
            <w:tcW w:w="1350" w:type="dxa"/>
            <w:vAlign w:val="center"/>
            <w:vMerge w:val="restart"/>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两率</w:t>
            </w:r>
            <w:r>
              <w:rPr>
                <w:rFonts w:hint="eastAsia" w:ascii="宋体" w:hAnsi="宋体" w:eastAsia="宋体" w:cs="宋体"/>
                <w:color w:val="000000"/>
                <w:sz w:val="24"/>
              </w:rPr>
            </w:r>
            <w:r/>
          </w:p>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部分</w:t>
            </w:r>
            <w:r>
              <w:rPr>
                <w:rFonts w:hint="eastAsia" w:ascii="宋体" w:hAnsi="宋体" w:eastAsia="宋体" w:cs="宋体"/>
                <w:color w:val="000000"/>
                <w:sz w:val="24"/>
              </w:rPr>
            </w:r>
            <w:r/>
          </w:p>
        </w:tc>
        <w:tc>
          <w:tcPr>
            <w:tcW w:w="1945"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设备运行率      %</w:t>
            </w:r>
            <w:r>
              <w:rPr>
                <w:rFonts w:hint="eastAsia" w:ascii="宋体" w:hAnsi="宋体" w:eastAsia="宋体" w:cs="宋体"/>
                <w:color w:val="000000"/>
                <w:sz w:val="24"/>
              </w:rPr>
            </w:r>
            <w:r/>
          </w:p>
        </w:tc>
        <w:tc>
          <w:tcPr>
            <w:tcW w:w="995" w:type="dxa"/>
            <w:vAlign w:val="center"/>
            <w:vMerge w:val="restart"/>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08" w:type="dxa"/>
            <w:vAlign w:val="center"/>
            <w:vMerge w:val="restart"/>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338"/>
        </w:trPr>
        <w:tc>
          <w:tcPr>
            <w:tcW w:w="1350"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945"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设备准确率      %</w:t>
            </w:r>
            <w:r>
              <w:rPr>
                <w:rFonts w:hint="eastAsia" w:ascii="宋体" w:hAnsi="宋体" w:eastAsia="宋体" w:cs="宋体"/>
                <w:color w:val="000000"/>
                <w:sz w:val="24"/>
              </w:rPr>
            </w:r>
            <w:r/>
          </w:p>
        </w:tc>
        <w:tc>
          <w:tcPr>
            <w:tcW w:w="995"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708" w:type="dxa"/>
            <w:vAlign w:val="center"/>
            <w:vMerge w:val="continue"/>
            <w:textDirection w:val="lrTb"/>
            <w:noWrap w:val="false"/>
          </w:tcPr>
          <w:p>
            <w:pPr>
              <w:pStyle w:val="1270"/>
              <w:jc w:val="left"/>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815"/>
        </w:trPr>
        <w:tc>
          <w:tcPr>
            <w:tcW w:w="1350"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运行维护部分</w:t>
            </w:r>
            <w:r>
              <w:rPr>
                <w:rFonts w:hint="eastAsia" w:ascii="宋体" w:hAnsi="宋体" w:eastAsia="宋体" w:cs="宋体"/>
                <w:color w:val="000000"/>
                <w:sz w:val="24"/>
              </w:rPr>
            </w:r>
            <w:r/>
          </w:p>
        </w:tc>
        <w:tc>
          <w:tcPr>
            <w:tcW w:w="1945"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运行维护工作完成情况及效果</w:t>
            </w:r>
            <w:r>
              <w:rPr>
                <w:rFonts w:hint="eastAsia" w:ascii="宋体" w:hAnsi="宋体" w:eastAsia="宋体" w:cs="宋体"/>
                <w:color w:val="000000"/>
                <w:sz w:val="24"/>
              </w:rPr>
            </w:r>
            <w:r/>
          </w:p>
        </w:tc>
        <w:tc>
          <w:tcPr>
            <w:tcW w:w="995"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0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327"/>
        </w:trPr>
        <w:tc>
          <w:tcPr>
            <w:tcW w:w="1350"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档案管理部分</w:t>
            </w:r>
            <w:r>
              <w:rPr>
                <w:rFonts w:hint="eastAsia" w:ascii="宋体" w:hAnsi="宋体" w:eastAsia="宋体" w:cs="宋体"/>
                <w:color w:val="000000"/>
                <w:sz w:val="24"/>
              </w:rPr>
            </w:r>
            <w:r/>
          </w:p>
        </w:tc>
        <w:tc>
          <w:tcPr>
            <w:tcW w:w="1945"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记录完整性和逻辑性</w:t>
            </w:r>
            <w:r>
              <w:rPr>
                <w:rFonts w:hint="eastAsia" w:ascii="宋体" w:hAnsi="宋体" w:eastAsia="宋体" w:cs="宋体"/>
                <w:color w:val="000000"/>
                <w:sz w:val="24"/>
              </w:rPr>
            </w:r>
            <w:r/>
          </w:p>
        </w:tc>
        <w:tc>
          <w:tcPr>
            <w:tcW w:w="995"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08"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313"/>
        </w:trPr>
        <w:tc>
          <w:tcPr>
            <w:gridSpan w:val="2"/>
            <w:tcW w:w="6360"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总分</w:t>
            </w:r>
            <w:r>
              <w:rPr>
                <w:rFonts w:hint="eastAsia" w:ascii="宋体" w:hAnsi="宋体" w:eastAsia="宋体" w:cs="宋体"/>
                <w:color w:val="000000"/>
                <w:sz w:val="24"/>
              </w:rPr>
            </w:r>
            <w:r/>
          </w:p>
        </w:tc>
        <w:tc>
          <w:tcPr>
            <w:gridSpan w:val="2"/>
            <w:tcW w:w="3287" w:type="dxa"/>
            <w:vAlign w:val="center"/>
            <w:textDirection w:val="lrTb"/>
            <w:noWrap w:val="false"/>
          </w:tcPr>
          <w:p>
            <w:pPr>
              <w:pStyle w:val="127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pStyle w:val="1557"/>
        <w:contextualSpacing/>
        <w:ind w:firstLine="0"/>
        <w:pageBreakBefore w:val="0"/>
        <w:spacing w:line="440" w:lineRule="exact"/>
        <w:rPr>
          <w:rFonts w:hint="eastAsia" w:ascii="宋体" w:hAnsi="宋体" w:eastAsia="宋体" w:cs="宋体"/>
          <w:b/>
          <w:bCs/>
          <w:color w:val="000000"/>
          <w:sz w:val="24"/>
          <w:szCs w:val="24"/>
        </w:rPr>
      </w:pPr>
      <w:r/>
      <w:bookmarkEnd w:id="685"/>
      <w:r>
        <w:rPr>
          <w:rFonts w:hint="eastAsia" w:ascii="宋体" w:hAnsi="宋体" w:eastAsia="宋体" w:cs="宋体"/>
          <w:b/>
          <w:bCs/>
          <w:color w:val="000000"/>
          <w:sz w:val="24"/>
          <w:szCs w:val="24"/>
        </w:rPr>
      </w:r>
      <w:r/>
    </w:p>
    <w:p>
      <w:pPr>
        <w:pStyle w:val="1557"/>
        <w:contextualSpacing/>
        <w:ind w:firstLine="0"/>
        <w:pageBreakBefore w:val="0"/>
        <w:spacing w:line="440" w:lineRule="exact"/>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采购包3：水质自动站点运维质量检查</w:t>
      </w:r>
      <w:r>
        <w:rPr>
          <w:rFonts w:hint="eastAsia" w:ascii="宋体" w:hAnsi="宋体" w:eastAsia="宋体" w:cs="宋体"/>
          <w:b/>
          <w:color w:val="000000"/>
          <w:sz w:val="24"/>
          <w:szCs w:val="24"/>
        </w:rPr>
      </w:r>
      <w:r/>
    </w:p>
    <w:p>
      <w:pPr>
        <w:pStyle w:val="1270"/>
        <w:ind w:firstLine="482"/>
        <w:pageBreakBefore w:val="0"/>
        <w:spacing w:line="440" w:lineRule="exact"/>
        <w:rPr>
          <w:rFonts w:hint="eastAsia" w:ascii="宋体" w:hAnsi="宋体" w:eastAsia="宋体" w:cs="宋体"/>
          <w:bCs/>
          <w:sz w:val="24"/>
        </w:rPr>
      </w:pPr>
      <w:r>
        <w:rPr>
          <w:rFonts w:hint="eastAsia" w:ascii="宋体" w:hAnsi="宋体" w:eastAsia="宋体" w:cs="宋体"/>
          <w:b/>
          <w:bCs/>
          <w:color w:val="000000"/>
          <w:sz w:val="24"/>
        </w:rPr>
        <w:t xml:space="preserve">采购内容：</w:t>
      </w:r>
      <w:r>
        <w:rPr>
          <w:rFonts w:hint="eastAsia" w:ascii="宋体" w:hAnsi="宋体" w:eastAsia="宋体" w:cs="宋体"/>
          <w:bCs/>
          <w:sz w:val="24"/>
        </w:rPr>
        <w:t xml:space="preserve">水站的运维监督和质控核查工作内容包括运维质量监督检查、运维计划执行率检查、数据质量检查及控制等。工作形式包括现场检查、运维记录检查、随机检查、专项核查等。运维监督和质控核查单位应遵守国家、省、市关于水质和空气自动站运行管理的各项规定，受常州市生态环境监控中心溧阳分中心的监督管理和技术指导。</w:t>
      </w:r>
      <w:r>
        <w:rPr>
          <w:rFonts w:hint="eastAsia" w:ascii="宋体" w:hAnsi="宋体" w:eastAsia="宋体" w:cs="宋体"/>
          <w:bCs/>
          <w:sz w:val="24"/>
        </w:rPr>
      </w:r>
      <w:r/>
    </w:p>
    <w:p>
      <w:pPr>
        <w:pStyle w:val="1270"/>
        <w:ind w:firstLine="48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具体站点内容如下：</w:t>
      </w:r>
      <w:r>
        <w:rPr>
          <w:rFonts w:hint="eastAsia" w:ascii="宋体" w:hAnsi="宋体" w:eastAsia="宋体" w:cs="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416"/>
        <w:gridCol w:w="1426"/>
        <w:gridCol w:w="5490"/>
      </w:tblGrid>
      <w:tr>
        <w:trPr>
          <w:trHeight w:val="484"/>
        </w:trPr>
        <w:tc>
          <w:tcPr>
            <w:tcW w:w="69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141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河流名称</w:t>
            </w:r>
            <w:r>
              <w:rPr>
                <w:rFonts w:hint="eastAsia" w:ascii="宋体" w:hAnsi="宋体" w:eastAsia="宋体" w:cs="宋体"/>
                <w:sz w:val="24"/>
              </w:rPr>
            </w:r>
            <w:r/>
          </w:p>
        </w:tc>
        <w:tc>
          <w:tcPr>
            <w:tcW w:w="142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水站名称</w:t>
            </w:r>
            <w:r>
              <w:rPr>
                <w:rFonts w:hint="eastAsia" w:ascii="宋体" w:hAnsi="宋体" w:eastAsia="宋体" w:cs="宋体"/>
                <w:sz w:val="24"/>
              </w:rPr>
            </w:r>
            <w:r/>
          </w:p>
        </w:tc>
        <w:tc>
          <w:tcPr>
            <w:tcW w:w="5490" w:type="dxa"/>
            <w:vAlign w:val="center"/>
            <w:textDirection w:val="lrTb"/>
            <w:noWrap w:val="false"/>
          </w:tcPr>
          <w:p>
            <w:pPr>
              <w:pStyle w:val="1270"/>
              <w:ind w:firstLine="48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监测参数</w:t>
            </w:r>
            <w:r>
              <w:rPr>
                <w:rFonts w:hint="eastAsia" w:ascii="宋体" w:hAnsi="宋体" w:eastAsia="宋体" w:cs="宋体"/>
                <w:bCs/>
                <w:sz w:val="24"/>
              </w:rPr>
            </w:r>
            <w:r/>
          </w:p>
        </w:tc>
      </w:tr>
      <w:tr>
        <w:trPr/>
        <w:tc>
          <w:tcPr>
            <w:tcW w:w="69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141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丹金溧漕河</w:t>
            </w:r>
            <w:r>
              <w:rPr>
                <w:rFonts w:hint="eastAsia" w:ascii="宋体" w:hAnsi="宋体" w:eastAsia="宋体" w:cs="宋体"/>
                <w:sz w:val="24"/>
              </w:rPr>
            </w:r>
            <w:r/>
          </w:p>
        </w:tc>
        <w:tc>
          <w:tcPr>
            <w:tcW w:w="142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新基桥</w:t>
            </w:r>
            <w:r>
              <w:rPr>
                <w:rFonts w:hint="eastAsia" w:ascii="宋体" w:hAnsi="宋体" w:eastAsia="宋体" w:cs="宋体"/>
                <w:sz w:val="24"/>
              </w:rPr>
            </w:r>
            <w:r/>
          </w:p>
        </w:tc>
        <w:tc>
          <w:tcPr>
            <w:tcW w:w="5490" w:type="dxa"/>
            <w:vAlign w:val="center"/>
            <w:vMerge w:val="restart"/>
            <w:textDirection w:val="lrTb"/>
            <w:noWrap w:val="false"/>
          </w:tcPr>
          <w:p>
            <w:pPr>
              <w:pStyle w:val="1270"/>
              <w:pageBreakBefore w:val="0"/>
              <w:spacing w:line="440" w:lineRule="exact"/>
              <w:rPr>
                <w:rFonts w:hint="eastAsia" w:ascii="宋体" w:hAnsi="宋体" w:eastAsia="宋体" w:cs="宋体"/>
                <w:sz w:val="24"/>
              </w:rPr>
            </w:pPr>
            <w:r>
              <w:rPr>
                <w:rFonts w:hint="eastAsia" w:ascii="宋体" w:hAnsi="宋体" w:eastAsia="宋体" w:cs="宋体"/>
                <w:sz w:val="24"/>
              </w:rPr>
              <w:t xml:space="preserve">水质五参数、氨氮、总磷、高锰酸盐指数等</w:t>
            </w:r>
            <w:r>
              <w:rPr>
                <w:rFonts w:hint="eastAsia" w:ascii="宋体" w:hAnsi="宋体" w:eastAsia="宋体" w:cs="宋体"/>
                <w:sz w:val="24"/>
              </w:rPr>
            </w:r>
            <w:r/>
          </w:p>
        </w:tc>
      </w:tr>
      <w:tr>
        <w:trPr/>
        <w:tc>
          <w:tcPr>
            <w:tcW w:w="69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W w:w="141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南河</w:t>
            </w:r>
            <w:r>
              <w:rPr>
                <w:rFonts w:hint="eastAsia" w:ascii="宋体" w:hAnsi="宋体" w:eastAsia="宋体" w:cs="宋体"/>
                <w:sz w:val="24"/>
              </w:rPr>
            </w:r>
            <w:r/>
          </w:p>
        </w:tc>
        <w:tc>
          <w:tcPr>
            <w:tcW w:w="142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蒋店桥</w:t>
            </w:r>
            <w:r>
              <w:rPr>
                <w:rFonts w:hint="eastAsia" w:ascii="宋体" w:hAnsi="宋体" w:eastAsia="宋体" w:cs="宋体"/>
                <w:sz w:val="24"/>
              </w:rPr>
            </w:r>
            <w:r/>
          </w:p>
        </w:tc>
        <w:tc>
          <w:tcPr>
            <w:tcW w:w="5490" w:type="dxa"/>
            <w:vAlign w:val="center"/>
            <w:vMerge w:val="continue"/>
            <w:textDirection w:val="lrTb"/>
            <w:noWrap w:val="false"/>
          </w:tcPr>
          <w:p>
            <w:pPr>
              <w:pStyle w:val="1270"/>
              <w:pageBreakBefore w:val="0"/>
              <w:spacing w:line="440" w:lineRule="exact"/>
              <w:rPr>
                <w:rFonts w:hint="eastAsia" w:ascii="宋体" w:hAnsi="宋体" w:eastAsia="宋体" w:cs="宋体"/>
                <w:sz w:val="24"/>
              </w:rPr>
            </w:pPr>
            <w:r>
              <w:rPr>
                <w:rFonts w:hint="eastAsia" w:ascii="宋体" w:hAnsi="宋体" w:eastAsia="宋体" w:cs="宋体"/>
                <w:sz w:val="24"/>
              </w:rPr>
            </w:r>
            <w:r/>
          </w:p>
        </w:tc>
      </w:tr>
      <w:tr>
        <w:trPr/>
        <w:tc>
          <w:tcPr>
            <w:tcW w:w="69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r>
            <w:r/>
          </w:p>
        </w:tc>
        <w:tc>
          <w:tcPr>
            <w:tcW w:w="141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芜太运河</w:t>
            </w:r>
            <w:r>
              <w:rPr>
                <w:rFonts w:hint="eastAsia" w:ascii="宋体" w:hAnsi="宋体" w:eastAsia="宋体" w:cs="宋体"/>
                <w:sz w:val="24"/>
              </w:rPr>
            </w:r>
            <w:r/>
          </w:p>
        </w:tc>
        <w:tc>
          <w:tcPr>
            <w:tcW w:w="142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回龙桥</w:t>
            </w:r>
            <w:r>
              <w:rPr>
                <w:rFonts w:hint="eastAsia" w:ascii="宋体" w:hAnsi="宋体" w:eastAsia="宋体" w:cs="宋体"/>
                <w:sz w:val="24"/>
              </w:rPr>
            </w:r>
            <w:r/>
          </w:p>
        </w:tc>
        <w:tc>
          <w:tcPr>
            <w:tcW w:w="5490" w:type="dxa"/>
            <w:vAlign w:val="center"/>
            <w:vMerge w:val="continue"/>
            <w:textDirection w:val="lrTb"/>
            <w:noWrap w:val="false"/>
          </w:tcPr>
          <w:p>
            <w:pPr>
              <w:pStyle w:val="1270"/>
              <w:pageBreakBefore w:val="0"/>
              <w:spacing w:line="440" w:lineRule="exact"/>
              <w:rPr>
                <w:rFonts w:hint="eastAsia" w:ascii="宋体" w:hAnsi="宋体" w:eastAsia="宋体" w:cs="宋体"/>
                <w:sz w:val="24"/>
              </w:rPr>
            </w:pPr>
            <w:r>
              <w:rPr>
                <w:rFonts w:hint="eastAsia" w:ascii="宋体" w:hAnsi="宋体" w:eastAsia="宋体" w:cs="宋体"/>
                <w:sz w:val="24"/>
              </w:rPr>
            </w:r>
            <w:r/>
          </w:p>
        </w:tc>
      </w:tr>
      <w:tr>
        <w:trPr/>
        <w:tc>
          <w:tcPr>
            <w:tcW w:w="69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r>
            <w:r/>
          </w:p>
        </w:tc>
        <w:tc>
          <w:tcPr>
            <w:tcW w:w="141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丹金溧漕河</w:t>
            </w:r>
            <w:r>
              <w:rPr>
                <w:rFonts w:hint="eastAsia" w:ascii="宋体" w:hAnsi="宋体" w:eastAsia="宋体" w:cs="宋体"/>
                <w:sz w:val="24"/>
              </w:rPr>
            </w:r>
            <w:r/>
          </w:p>
        </w:tc>
        <w:tc>
          <w:tcPr>
            <w:tcW w:w="142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歌岐桥</w:t>
            </w:r>
            <w:r>
              <w:rPr>
                <w:rFonts w:hint="eastAsia" w:ascii="宋体" w:hAnsi="宋体" w:eastAsia="宋体" w:cs="宋体"/>
                <w:sz w:val="24"/>
              </w:rPr>
            </w:r>
            <w:r/>
          </w:p>
        </w:tc>
        <w:tc>
          <w:tcPr>
            <w:tcW w:w="5490" w:type="dxa"/>
            <w:vAlign w:val="center"/>
            <w:vMerge w:val="continue"/>
            <w:textDirection w:val="lrTb"/>
            <w:noWrap w:val="false"/>
          </w:tcPr>
          <w:p>
            <w:pPr>
              <w:pStyle w:val="1270"/>
              <w:pageBreakBefore w:val="0"/>
              <w:spacing w:line="440" w:lineRule="exact"/>
              <w:rPr>
                <w:rFonts w:hint="eastAsia" w:ascii="宋体" w:hAnsi="宋体" w:eastAsia="宋体" w:cs="宋体"/>
                <w:sz w:val="24"/>
              </w:rPr>
            </w:pPr>
            <w:r>
              <w:rPr>
                <w:rFonts w:hint="eastAsia" w:ascii="宋体" w:hAnsi="宋体" w:eastAsia="宋体" w:cs="宋体"/>
                <w:sz w:val="24"/>
              </w:rPr>
            </w:r>
            <w:r/>
          </w:p>
        </w:tc>
      </w:tr>
      <w:tr>
        <w:trPr/>
        <w:tc>
          <w:tcPr>
            <w:tcW w:w="69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W w:w="141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溧戴河</w:t>
            </w:r>
            <w:r>
              <w:rPr>
                <w:rFonts w:hint="eastAsia" w:ascii="宋体" w:hAnsi="宋体" w:eastAsia="宋体" w:cs="宋体"/>
                <w:sz w:val="24"/>
              </w:rPr>
            </w:r>
            <w:r/>
          </w:p>
        </w:tc>
        <w:tc>
          <w:tcPr>
            <w:tcW w:w="142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长木桥</w:t>
            </w:r>
            <w:r>
              <w:rPr>
                <w:rFonts w:hint="eastAsia" w:ascii="宋体" w:hAnsi="宋体" w:eastAsia="宋体" w:cs="宋体"/>
                <w:sz w:val="24"/>
              </w:rPr>
            </w:r>
            <w:r/>
          </w:p>
        </w:tc>
        <w:tc>
          <w:tcPr>
            <w:tcW w:w="5490" w:type="dxa"/>
            <w:vAlign w:val="center"/>
            <w:vMerge w:val="restart"/>
            <w:textDirection w:val="lrTb"/>
            <w:noWrap w:val="false"/>
          </w:tcPr>
          <w:p>
            <w:pPr>
              <w:pStyle w:val="1270"/>
              <w:pageBreakBefore w:val="0"/>
              <w:spacing w:line="440" w:lineRule="exact"/>
              <w:rPr>
                <w:rFonts w:hint="eastAsia" w:ascii="宋体" w:hAnsi="宋体" w:eastAsia="宋体" w:cs="宋体"/>
                <w:sz w:val="24"/>
              </w:rPr>
            </w:pPr>
            <w:r>
              <w:rPr>
                <w:rFonts w:hint="eastAsia" w:ascii="宋体" w:hAnsi="宋体" w:eastAsia="宋体" w:cs="宋体"/>
                <w:sz w:val="24"/>
              </w:rPr>
              <w:t xml:space="preserve">水质五参数、氨氮、总磷、高锰酸盐指数、总氮等</w:t>
            </w:r>
            <w:r>
              <w:rPr>
                <w:rFonts w:hint="eastAsia" w:ascii="宋体" w:hAnsi="宋体" w:eastAsia="宋体" w:cs="宋体"/>
                <w:sz w:val="24"/>
              </w:rPr>
            </w:r>
            <w:r/>
          </w:p>
        </w:tc>
      </w:tr>
      <w:tr>
        <w:trPr/>
        <w:tc>
          <w:tcPr>
            <w:tcW w:w="69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r>
            <w:r/>
          </w:p>
        </w:tc>
        <w:tc>
          <w:tcPr>
            <w:tcW w:w="141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竹箦河</w:t>
            </w:r>
            <w:r>
              <w:rPr>
                <w:rFonts w:hint="eastAsia" w:ascii="宋体" w:hAnsi="宋体" w:eastAsia="宋体" w:cs="宋体"/>
                <w:sz w:val="24"/>
              </w:rPr>
            </w:r>
            <w:r/>
          </w:p>
        </w:tc>
        <w:tc>
          <w:tcPr>
            <w:tcW w:w="142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泓口桥</w:t>
            </w:r>
            <w:r>
              <w:rPr>
                <w:rFonts w:hint="eastAsia" w:ascii="宋体" w:hAnsi="宋体" w:eastAsia="宋体" w:cs="宋体"/>
                <w:sz w:val="24"/>
              </w:rPr>
            </w:r>
            <w:r/>
          </w:p>
        </w:tc>
        <w:tc>
          <w:tcPr>
            <w:tcW w:w="5490" w:type="dxa"/>
            <w:vAlign w:val="center"/>
            <w:vMerge w:val="continue"/>
            <w:textDirection w:val="lrTb"/>
            <w:noWrap w:val="false"/>
          </w:tcPr>
          <w:p>
            <w:pPr>
              <w:pStyle w:val="1270"/>
              <w:pageBreakBefore w:val="0"/>
              <w:spacing w:line="440" w:lineRule="exact"/>
              <w:rPr>
                <w:rFonts w:hint="eastAsia" w:ascii="宋体" w:hAnsi="宋体" w:eastAsia="宋体" w:cs="宋体"/>
                <w:sz w:val="24"/>
              </w:rPr>
            </w:pPr>
            <w:r>
              <w:rPr>
                <w:rFonts w:hint="eastAsia" w:ascii="宋体" w:hAnsi="宋体" w:eastAsia="宋体" w:cs="宋体"/>
                <w:sz w:val="24"/>
              </w:rPr>
            </w:r>
            <w:r/>
          </w:p>
        </w:tc>
      </w:tr>
      <w:tr>
        <w:trPr/>
        <w:tc>
          <w:tcPr>
            <w:tcW w:w="69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r>
            <w:r/>
          </w:p>
        </w:tc>
        <w:tc>
          <w:tcPr>
            <w:tcW w:w="141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北河</w:t>
            </w:r>
            <w:r>
              <w:rPr>
                <w:rFonts w:hint="eastAsia" w:ascii="宋体" w:hAnsi="宋体" w:eastAsia="宋体" w:cs="宋体"/>
                <w:sz w:val="24"/>
              </w:rPr>
            </w:r>
            <w:r/>
          </w:p>
        </w:tc>
        <w:tc>
          <w:tcPr>
            <w:tcW w:w="142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爱国桥</w:t>
            </w:r>
            <w:r>
              <w:rPr>
                <w:rFonts w:hint="eastAsia" w:ascii="宋体" w:hAnsi="宋体" w:eastAsia="宋体" w:cs="宋体"/>
                <w:sz w:val="24"/>
              </w:rPr>
            </w:r>
            <w:r/>
          </w:p>
        </w:tc>
        <w:tc>
          <w:tcPr>
            <w:tcW w:w="5490" w:type="dxa"/>
            <w:vAlign w:val="center"/>
            <w:vMerge w:val="continue"/>
            <w:textDirection w:val="lrTb"/>
            <w:noWrap w:val="false"/>
          </w:tcPr>
          <w:p>
            <w:pPr>
              <w:pStyle w:val="1270"/>
              <w:pageBreakBefore w:val="0"/>
              <w:spacing w:line="440" w:lineRule="exact"/>
              <w:rPr>
                <w:rFonts w:hint="eastAsia" w:ascii="宋体" w:hAnsi="宋体" w:eastAsia="宋体" w:cs="宋体"/>
                <w:sz w:val="24"/>
              </w:rPr>
            </w:pPr>
            <w:r>
              <w:rPr>
                <w:rFonts w:hint="eastAsia" w:ascii="宋体" w:hAnsi="宋体" w:eastAsia="宋体" w:cs="宋体"/>
                <w:sz w:val="24"/>
              </w:rPr>
            </w:r>
            <w:r/>
          </w:p>
        </w:tc>
      </w:tr>
      <w:tr>
        <w:trPr/>
        <w:tc>
          <w:tcPr>
            <w:tcW w:w="69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r>
            <w:r/>
          </w:p>
        </w:tc>
        <w:tc>
          <w:tcPr>
            <w:tcW w:w="141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北河</w:t>
            </w:r>
            <w:r>
              <w:rPr>
                <w:rFonts w:hint="eastAsia" w:ascii="宋体" w:hAnsi="宋体" w:eastAsia="宋体" w:cs="宋体"/>
                <w:sz w:val="24"/>
              </w:rPr>
            </w:r>
            <w:r/>
          </w:p>
        </w:tc>
        <w:tc>
          <w:tcPr>
            <w:tcW w:w="142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郑家桥</w:t>
            </w:r>
            <w:r>
              <w:rPr>
                <w:rFonts w:hint="eastAsia" w:ascii="宋体" w:hAnsi="宋体" w:eastAsia="宋体" w:cs="宋体"/>
                <w:sz w:val="24"/>
              </w:rPr>
            </w:r>
            <w:r/>
          </w:p>
        </w:tc>
        <w:tc>
          <w:tcPr>
            <w:tcW w:w="5490" w:type="dxa"/>
            <w:vAlign w:val="center"/>
            <w:vMerge w:val="continue"/>
            <w:textDirection w:val="lrTb"/>
            <w:noWrap w:val="false"/>
          </w:tcPr>
          <w:p>
            <w:pPr>
              <w:pStyle w:val="1270"/>
              <w:pageBreakBefore w:val="0"/>
              <w:spacing w:line="440" w:lineRule="exact"/>
              <w:rPr>
                <w:rFonts w:hint="eastAsia" w:ascii="宋体" w:hAnsi="宋体" w:eastAsia="宋体" w:cs="宋体"/>
                <w:sz w:val="24"/>
              </w:rPr>
            </w:pPr>
            <w:r>
              <w:rPr>
                <w:rFonts w:hint="eastAsia" w:ascii="宋体" w:hAnsi="宋体" w:eastAsia="宋体" w:cs="宋体"/>
                <w:sz w:val="24"/>
              </w:rPr>
            </w:r>
            <w:r/>
          </w:p>
        </w:tc>
      </w:tr>
      <w:tr>
        <w:trPr/>
        <w:tc>
          <w:tcPr>
            <w:tcW w:w="69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rPr>
            </w:r>
            <w:r/>
          </w:p>
        </w:tc>
        <w:tc>
          <w:tcPr>
            <w:tcW w:w="141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中河</w:t>
            </w:r>
            <w:r>
              <w:rPr>
                <w:rFonts w:hint="eastAsia" w:ascii="宋体" w:hAnsi="宋体" w:eastAsia="宋体" w:cs="宋体"/>
                <w:sz w:val="24"/>
              </w:rPr>
            </w:r>
            <w:r/>
          </w:p>
        </w:tc>
        <w:tc>
          <w:tcPr>
            <w:tcW w:w="142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三益桥</w:t>
            </w:r>
            <w:r>
              <w:rPr>
                <w:rFonts w:hint="eastAsia" w:ascii="宋体" w:hAnsi="宋体" w:eastAsia="宋体" w:cs="宋体"/>
                <w:sz w:val="24"/>
              </w:rPr>
            </w:r>
            <w:r/>
          </w:p>
        </w:tc>
        <w:tc>
          <w:tcPr>
            <w:tcW w:w="5490" w:type="dxa"/>
            <w:vAlign w:val="center"/>
            <w:vMerge w:val="continue"/>
            <w:textDirection w:val="lrTb"/>
            <w:noWrap w:val="false"/>
          </w:tcPr>
          <w:p>
            <w:pPr>
              <w:pStyle w:val="1270"/>
              <w:pageBreakBefore w:val="0"/>
              <w:spacing w:line="440" w:lineRule="exact"/>
              <w:rPr>
                <w:rFonts w:hint="eastAsia" w:ascii="宋体" w:hAnsi="宋体" w:eastAsia="宋体" w:cs="宋体"/>
                <w:sz w:val="24"/>
              </w:rPr>
            </w:pPr>
            <w:r>
              <w:rPr>
                <w:rFonts w:hint="eastAsia" w:ascii="宋体" w:hAnsi="宋体" w:eastAsia="宋体" w:cs="宋体"/>
                <w:sz w:val="24"/>
              </w:rPr>
            </w:r>
            <w:r/>
          </w:p>
        </w:tc>
      </w:tr>
      <w:tr>
        <w:trPr/>
        <w:tc>
          <w:tcPr>
            <w:tcW w:w="69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rPr>
            </w:r>
            <w:r/>
          </w:p>
        </w:tc>
        <w:tc>
          <w:tcPr>
            <w:tcW w:w="141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舍溪河</w:t>
            </w:r>
            <w:r>
              <w:rPr>
                <w:rFonts w:hint="eastAsia" w:ascii="宋体" w:hAnsi="宋体" w:eastAsia="宋体" w:cs="宋体"/>
                <w:sz w:val="24"/>
              </w:rPr>
            </w:r>
            <w:r/>
          </w:p>
        </w:tc>
        <w:tc>
          <w:tcPr>
            <w:tcW w:w="142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舍溪桥</w:t>
            </w:r>
            <w:r>
              <w:rPr>
                <w:rFonts w:hint="eastAsia" w:ascii="宋体" w:hAnsi="宋体" w:eastAsia="宋体" w:cs="宋体"/>
                <w:sz w:val="24"/>
              </w:rPr>
            </w:r>
            <w:r/>
          </w:p>
        </w:tc>
        <w:tc>
          <w:tcPr>
            <w:tcW w:w="5490" w:type="dxa"/>
            <w:vAlign w:val="center"/>
            <w:vMerge w:val="continue"/>
            <w:textDirection w:val="lrTb"/>
            <w:noWrap w:val="false"/>
          </w:tcPr>
          <w:p>
            <w:pPr>
              <w:pStyle w:val="1270"/>
              <w:pageBreakBefore w:val="0"/>
              <w:spacing w:line="440" w:lineRule="exact"/>
              <w:rPr>
                <w:rFonts w:hint="eastAsia" w:ascii="宋体" w:hAnsi="宋体" w:eastAsia="宋体" w:cs="宋体"/>
                <w:sz w:val="24"/>
              </w:rPr>
            </w:pPr>
            <w:r>
              <w:rPr>
                <w:rFonts w:hint="eastAsia" w:ascii="宋体" w:hAnsi="宋体" w:eastAsia="宋体" w:cs="宋体"/>
                <w:sz w:val="24"/>
              </w:rPr>
            </w:r>
            <w:r/>
          </w:p>
        </w:tc>
      </w:tr>
      <w:tr>
        <w:trPr/>
        <w:tc>
          <w:tcPr>
            <w:tcW w:w="69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rPr>
            </w:r>
            <w:r/>
          </w:p>
        </w:tc>
        <w:tc>
          <w:tcPr>
            <w:tcW w:w="141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上黄河</w:t>
            </w:r>
            <w:r>
              <w:rPr>
                <w:rFonts w:hint="eastAsia" w:ascii="宋体" w:hAnsi="宋体" w:eastAsia="宋体" w:cs="宋体"/>
                <w:sz w:val="24"/>
              </w:rPr>
            </w:r>
            <w:r/>
          </w:p>
        </w:tc>
        <w:tc>
          <w:tcPr>
            <w:tcW w:w="142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蒋家头桥</w:t>
            </w:r>
            <w:r>
              <w:rPr>
                <w:rFonts w:hint="eastAsia" w:ascii="宋体" w:hAnsi="宋体" w:eastAsia="宋体" w:cs="宋体"/>
                <w:sz w:val="24"/>
              </w:rPr>
            </w:r>
            <w:r/>
          </w:p>
        </w:tc>
        <w:tc>
          <w:tcPr>
            <w:tcW w:w="5490" w:type="dxa"/>
            <w:vAlign w:val="center"/>
            <w:vMerge w:val="continue"/>
            <w:textDirection w:val="lrTb"/>
            <w:noWrap w:val="false"/>
          </w:tcPr>
          <w:p>
            <w:pPr>
              <w:pStyle w:val="1270"/>
              <w:pageBreakBefore w:val="0"/>
              <w:spacing w:line="440" w:lineRule="exact"/>
              <w:rPr>
                <w:rFonts w:hint="eastAsia" w:ascii="宋体" w:hAnsi="宋体" w:eastAsia="宋体" w:cs="宋体"/>
                <w:sz w:val="24"/>
              </w:rPr>
            </w:pPr>
            <w:r>
              <w:rPr>
                <w:rFonts w:hint="eastAsia" w:ascii="宋体" w:hAnsi="宋体" w:eastAsia="宋体" w:cs="宋体"/>
                <w:sz w:val="24"/>
              </w:rPr>
            </w:r>
            <w:r/>
          </w:p>
        </w:tc>
      </w:tr>
      <w:tr>
        <w:trPr/>
        <w:tc>
          <w:tcPr>
            <w:tcW w:w="69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rPr>
            </w:r>
            <w:r/>
          </w:p>
        </w:tc>
        <w:tc>
          <w:tcPr>
            <w:tcW w:w="141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沙河水库</w:t>
            </w:r>
            <w:r>
              <w:rPr>
                <w:rFonts w:hint="eastAsia" w:ascii="宋体" w:hAnsi="宋体" w:eastAsia="宋体" w:cs="宋体"/>
                <w:sz w:val="24"/>
              </w:rPr>
            </w:r>
            <w:r/>
          </w:p>
        </w:tc>
        <w:tc>
          <w:tcPr>
            <w:tcW w:w="142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沙河水库</w:t>
            </w:r>
            <w:r>
              <w:rPr>
                <w:rFonts w:hint="eastAsia" w:ascii="宋体" w:hAnsi="宋体" w:eastAsia="宋体" w:cs="宋体"/>
                <w:sz w:val="24"/>
              </w:rPr>
            </w:r>
            <w:r/>
          </w:p>
        </w:tc>
        <w:tc>
          <w:tcPr>
            <w:tcW w:w="5490" w:type="dxa"/>
            <w:vAlign w:val="center"/>
            <w:vMerge w:val="restart"/>
            <w:textDirection w:val="lrTb"/>
            <w:noWrap w:val="false"/>
          </w:tcPr>
          <w:p>
            <w:pPr>
              <w:pStyle w:val="1270"/>
              <w:pageBreakBefore w:val="0"/>
              <w:spacing w:line="440" w:lineRule="exact"/>
              <w:rPr>
                <w:rFonts w:hint="eastAsia" w:ascii="宋体" w:hAnsi="宋体" w:eastAsia="宋体" w:cs="宋体"/>
                <w:sz w:val="24"/>
              </w:rPr>
            </w:pPr>
            <w:r>
              <w:rPr>
                <w:rFonts w:hint="eastAsia" w:ascii="宋体" w:hAnsi="宋体" w:eastAsia="宋体" w:cs="宋体"/>
                <w:sz w:val="24"/>
              </w:rPr>
              <w:t xml:space="preserve">挥发性有机物（18项）、挥发酚</w:t>
            </w:r>
            <w:r>
              <w:rPr>
                <w:rFonts w:hint="eastAsia" w:ascii="宋体" w:hAnsi="宋体" w:eastAsia="宋体" w:cs="宋体"/>
                <w:sz w:val="24"/>
              </w:rPr>
            </w:r>
            <w:r/>
          </w:p>
        </w:tc>
      </w:tr>
      <w:tr>
        <w:trPr/>
        <w:tc>
          <w:tcPr>
            <w:tcW w:w="69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13</w:t>
            </w:r>
            <w:r>
              <w:rPr>
                <w:rFonts w:hint="eastAsia" w:ascii="宋体" w:hAnsi="宋体" w:eastAsia="宋体" w:cs="宋体"/>
                <w:sz w:val="24"/>
              </w:rPr>
            </w:r>
            <w:r/>
          </w:p>
        </w:tc>
        <w:tc>
          <w:tcPr>
            <w:tcW w:w="141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大溪水库</w:t>
            </w:r>
            <w:r>
              <w:rPr>
                <w:rFonts w:hint="eastAsia" w:ascii="宋体" w:hAnsi="宋体" w:eastAsia="宋体" w:cs="宋体"/>
                <w:sz w:val="24"/>
              </w:rPr>
            </w:r>
            <w:r/>
          </w:p>
        </w:tc>
        <w:tc>
          <w:tcPr>
            <w:tcW w:w="142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大溪水库</w:t>
            </w:r>
            <w:r>
              <w:rPr>
                <w:rFonts w:hint="eastAsia" w:ascii="宋体" w:hAnsi="宋体" w:eastAsia="宋体" w:cs="宋体"/>
                <w:sz w:val="24"/>
              </w:rPr>
            </w:r>
            <w:r/>
          </w:p>
        </w:tc>
        <w:tc>
          <w:tcPr>
            <w:tcW w:w="5490" w:type="dxa"/>
            <w:vAlign w:val="center"/>
            <w:vMerge w:val="continue"/>
            <w:textDirection w:val="lrTb"/>
            <w:noWrap w:val="false"/>
          </w:tcPr>
          <w:p>
            <w:pPr>
              <w:pStyle w:val="1270"/>
              <w:ind w:firstLine="480"/>
              <w:pageBreakBefore w:val="0"/>
              <w:spacing w:line="440" w:lineRule="exact"/>
              <w:rPr>
                <w:rFonts w:hint="eastAsia" w:ascii="宋体" w:hAnsi="宋体" w:eastAsia="宋体" w:cs="宋体"/>
                <w:bCs/>
                <w:sz w:val="24"/>
              </w:rPr>
            </w:pPr>
            <w:r>
              <w:rPr>
                <w:rFonts w:hint="eastAsia" w:ascii="宋体" w:hAnsi="宋体" w:eastAsia="宋体" w:cs="宋体"/>
                <w:bCs/>
                <w:sz w:val="24"/>
              </w:rPr>
            </w:r>
            <w:r/>
          </w:p>
        </w:tc>
      </w:tr>
      <w:tr>
        <w:trPr/>
        <w:tc>
          <w:tcPr>
            <w:tcW w:w="69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14</w:t>
            </w:r>
            <w:r>
              <w:rPr>
                <w:rFonts w:hint="eastAsia" w:ascii="宋体" w:hAnsi="宋体" w:eastAsia="宋体" w:cs="宋体"/>
                <w:sz w:val="24"/>
              </w:rPr>
            </w:r>
            <w:r/>
          </w:p>
        </w:tc>
        <w:tc>
          <w:tcPr>
            <w:tcW w:w="141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中干河</w:t>
            </w:r>
            <w:r>
              <w:rPr>
                <w:rFonts w:hint="eastAsia" w:ascii="宋体" w:hAnsi="宋体" w:eastAsia="宋体" w:cs="宋体"/>
                <w:sz w:val="24"/>
              </w:rPr>
            </w:r>
            <w:r/>
          </w:p>
        </w:tc>
        <w:tc>
          <w:tcPr>
            <w:tcW w:w="142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山下河桥</w:t>
            </w:r>
            <w:r>
              <w:rPr>
                <w:rFonts w:hint="eastAsia" w:ascii="宋体" w:hAnsi="宋体" w:eastAsia="宋体" w:cs="宋体"/>
                <w:sz w:val="24"/>
              </w:rPr>
            </w:r>
            <w:r/>
          </w:p>
        </w:tc>
        <w:tc>
          <w:tcPr>
            <w:tcW w:w="5490" w:type="dxa"/>
            <w:vAlign w:val="center"/>
            <w:vMerge w:val="restart"/>
            <w:textDirection w:val="lrTb"/>
            <w:noWrap w:val="false"/>
          </w:tcPr>
          <w:p>
            <w:pPr>
              <w:pStyle w:val="1270"/>
              <w:pageBreakBefore w:val="0"/>
              <w:spacing w:line="440" w:lineRule="exact"/>
              <w:rPr>
                <w:rFonts w:hint="eastAsia" w:ascii="宋体" w:hAnsi="宋体" w:eastAsia="宋体" w:cs="宋体"/>
                <w:bCs/>
                <w:sz w:val="24"/>
              </w:rPr>
            </w:pPr>
            <w:r>
              <w:rPr>
                <w:rFonts w:hint="eastAsia" w:ascii="宋体" w:hAnsi="宋体" w:eastAsia="宋体" w:cs="宋体"/>
                <w:sz w:val="24"/>
              </w:rPr>
              <w:t xml:space="preserve">水质五参数、氨氮、总磷、高锰酸盐指数、总氮等</w:t>
            </w:r>
            <w:r>
              <w:rPr>
                <w:rFonts w:hint="eastAsia" w:ascii="宋体" w:hAnsi="宋体" w:eastAsia="宋体" w:cs="宋体"/>
                <w:bCs/>
                <w:sz w:val="24"/>
              </w:rPr>
            </w:r>
            <w:r/>
          </w:p>
        </w:tc>
      </w:tr>
      <w:tr>
        <w:trPr/>
        <w:tc>
          <w:tcPr>
            <w:tcW w:w="69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15</w:t>
            </w:r>
            <w:r>
              <w:rPr>
                <w:rFonts w:hint="eastAsia" w:ascii="宋体" w:hAnsi="宋体" w:eastAsia="宋体" w:cs="宋体"/>
                <w:sz w:val="24"/>
              </w:rPr>
            </w:r>
            <w:r/>
          </w:p>
        </w:tc>
        <w:tc>
          <w:tcPr>
            <w:tcW w:w="141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后周河</w:t>
            </w:r>
            <w:r>
              <w:rPr>
                <w:rFonts w:hint="eastAsia" w:ascii="宋体" w:hAnsi="宋体" w:eastAsia="宋体" w:cs="宋体"/>
                <w:sz w:val="24"/>
              </w:rPr>
            </w:r>
            <w:r/>
          </w:p>
        </w:tc>
        <w:tc>
          <w:tcPr>
            <w:tcW w:w="142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后周河站</w:t>
            </w:r>
            <w:r>
              <w:rPr>
                <w:rFonts w:hint="eastAsia" w:ascii="宋体" w:hAnsi="宋体" w:eastAsia="宋体" w:cs="宋体"/>
                <w:sz w:val="24"/>
              </w:rPr>
            </w:r>
            <w:r/>
          </w:p>
        </w:tc>
        <w:tc>
          <w:tcPr>
            <w:tcW w:w="5490" w:type="dxa"/>
            <w:vAlign w:val="center"/>
            <w:vMerge w:val="continue"/>
            <w:textDirection w:val="lrTb"/>
            <w:noWrap w:val="false"/>
          </w:tcPr>
          <w:p>
            <w:pPr>
              <w:pStyle w:val="1270"/>
              <w:ind w:firstLine="480"/>
              <w:pageBreakBefore w:val="0"/>
              <w:spacing w:line="440" w:lineRule="exact"/>
              <w:rPr>
                <w:rFonts w:hint="eastAsia" w:ascii="宋体" w:hAnsi="宋体" w:eastAsia="宋体" w:cs="宋体"/>
                <w:bCs/>
                <w:sz w:val="24"/>
              </w:rPr>
            </w:pPr>
            <w:r>
              <w:rPr>
                <w:rFonts w:hint="eastAsia" w:ascii="宋体" w:hAnsi="宋体" w:eastAsia="宋体" w:cs="宋体"/>
                <w:bCs/>
                <w:sz w:val="24"/>
              </w:rPr>
            </w:r>
            <w:r/>
          </w:p>
        </w:tc>
      </w:tr>
      <w:tr>
        <w:trPr/>
        <w:tc>
          <w:tcPr>
            <w:tcW w:w="69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16</w:t>
            </w:r>
            <w:r>
              <w:rPr>
                <w:rFonts w:hint="eastAsia" w:ascii="宋体" w:hAnsi="宋体" w:eastAsia="宋体" w:cs="宋体"/>
                <w:sz w:val="24"/>
              </w:rPr>
            </w:r>
            <w:r/>
          </w:p>
        </w:tc>
        <w:tc>
          <w:tcPr>
            <w:tcW w:w="141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中田河</w:t>
            </w:r>
            <w:r>
              <w:rPr>
                <w:rFonts w:hint="eastAsia" w:ascii="宋体" w:hAnsi="宋体" w:eastAsia="宋体" w:cs="宋体"/>
                <w:sz w:val="24"/>
              </w:rPr>
            </w:r>
            <w:r/>
          </w:p>
        </w:tc>
        <w:tc>
          <w:tcPr>
            <w:tcW w:w="142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中田河口</w:t>
            </w:r>
            <w:r>
              <w:rPr>
                <w:rFonts w:hint="eastAsia" w:ascii="宋体" w:hAnsi="宋体" w:eastAsia="宋体" w:cs="宋体"/>
                <w:sz w:val="24"/>
              </w:rPr>
            </w:r>
            <w:r/>
          </w:p>
        </w:tc>
        <w:tc>
          <w:tcPr>
            <w:tcW w:w="5490" w:type="dxa"/>
            <w:vAlign w:val="center"/>
            <w:vMerge w:val="continue"/>
            <w:textDirection w:val="lrTb"/>
            <w:noWrap w:val="false"/>
          </w:tcPr>
          <w:p>
            <w:pPr>
              <w:pStyle w:val="1270"/>
              <w:ind w:firstLine="480"/>
              <w:pageBreakBefore w:val="0"/>
              <w:spacing w:line="440" w:lineRule="exact"/>
              <w:rPr>
                <w:rFonts w:hint="eastAsia" w:ascii="宋体" w:hAnsi="宋体" w:eastAsia="宋体" w:cs="宋体"/>
                <w:bCs/>
                <w:sz w:val="24"/>
              </w:rPr>
            </w:pPr>
            <w:r>
              <w:rPr>
                <w:rFonts w:hint="eastAsia" w:ascii="宋体" w:hAnsi="宋体" w:eastAsia="宋体" w:cs="宋体"/>
                <w:bCs/>
                <w:sz w:val="24"/>
              </w:rPr>
            </w:r>
            <w:r/>
          </w:p>
        </w:tc>
      </w:tr>
      <w:tr>
        <w:trPr/>
        <w:tc>
          <w:tcPr>
            <w:tcW w:w="69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17</w:t>
            </w:r>
            <w:r>
              <w:rPr>
                <w:rFonts w:hint="eastAsia" w:ascii="宋体" w:hAnsi="宋体" w:eastAsia="宋体" w:cs="宋体"/>
                <w:sz w:val="24"/>
              </w:rPr>
            </w:r>
            <w:r/>
          </w:p>
        </w:tc>
        <w:tc>
          <w:tcPr>
            <w:tcW w:w="141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洙漕河</w:t>
            </w:r>
            <w:r>
              <w:rPr>
                <w:rFonts w:hint="eastAsia" w:ascii="宋体" w:hAnsi="宋体" w:eastAsia="宋体" w:cs="宋体"/>
                <w:sz w:val="24"/>
              </w:rPr>
            </w:r>
            <w:r/>
          </w:p>
        </w:tc>
        <w:tc>
          <w:tcPr>
            <w:tcW w:w="142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洙漕河口</w:t>
            </w:r>
            <w:r>
              <w:rPr>
                <w:rFonts w:hint="eastAsia" w:ascii="宋体" w:hAnsi="宋体" w:eastAsia="宋体" w:cs="宋体"/>
                <w:sz w:val="24"/>
              </w:rPr>
            </w:r>
            <w:r/>
          </w:p>
        </w:tc>
        <w:tc>
          <w:tcPr>
            <w:tcW w:w="5490" w:type="dxa"/>
            <w:vAlign w:val="center"/>
            <w:vMerge w:val="continue"/>
            <w:textDirection w:val="lrTb"/>
            <w:noWrap w:val="false"/>
          </w:tcPr>
          <w:p>
            <w:pPr>
              <w:pStyle w:val="1270"/>
              <w:ind w:firstLine="480"/>
              <w:pageBreakBefore w:val="0"/>
              <w:spacing w:line="440" w:lineRule="exact"/>
              <w:rPr>
                <w:rFonts w:hint="eastAsia" w:ascii="宋体" w:hAnsi="宋体" w:eastAsia="宋体" w:cs="宋体"/>
                <w:bCs/>
                <w:sz w:val="24"/>
              </w:rPr>
            </w:pPr>
            <w:r>
              <w:rPr>
                <w:rFonts w:hint="eastAsia" w:ascii="宋体" w:hAnsi="宋体" w:eastAsia="宋体" w:cs="宋体"/>
                <w:bCs/>
                <w:sz w:val="24"/>
              </w:rPr>
            </w:r>
            <w:r/>
          </w:p>
        </w:tc>
      </w:tr>
      <w:tr>
        <w:trPr/>
        <w:tc>
          <w:tcPr>
            <w:tcW w:w="69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18</w:t>
            </w:r>
            <w:r>
              <w:rPr>
                <w:rFonts w:hint="eastAsia" w:ascii="宋体" w:hAnsi="宋体" w:eastAsia="宋体" w:cs="宋体"/>
                <w:sz w:val="24"/>
              </w:rPr>
            </w:r>
            <w:r/>
          </w:p>
        </w:tc>
        <w:tc>
          <w:tcPr>
            <w:tcW w:w="141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上兴河</w:t>
            </w:r>
            <w:r>
              <w:rPr>
                <w:rFonts w:hint="eastAsia" w:ascii="宋体" w:hAnsi="宋体" w:eastAsia="宋体" w:cs="宋体"/>
                <w:sz w:val="24"/>
              </w:rPr>
            </w:r>
            <w:r/>
          </w:p>
        </w:tc>
        <w:tc>
          <w:tcPr>
            <w:tcW w:w="1426" w:type="dxa"/>
            <w:vAlign w:val="center"/>
            <w:textDirection w:val="lrTb"/>
            <w:noWrap w:val="false"/>
          </w:tcPr>
          <w:p>
            <w:pPr>
              <w:pStyle w:val="1270"/>
              <w:jc w:val="center"/>
              <w:pageBreakBefore w:val="0"/>
              <w:spacing w:line="440" w:lineRule="exact"/>
              <w:rPr>
                <w:rFonts w:hint="eastAsia" w:ascii="宋体" w:hAnsi="宋体" w:eastAsia="宋体" w:cs="宋体"/>
                <w:sz w:val="24"/>
              </w:rPr>
            </w:pPr>
            <w:r>
              <w:rPr>
                <w:rFonts w:hint="eastAsia" w:ascii="宋体" w:hAnsi="宋体" w:eastAsia="宋体" w:cs="宋体"/>
                <w:sz w:val="24"/>
              </w:rPr>
              <w:t xml:space="preserve">上兴河站</w:t>
            </w:r>
            <w:r>
              <w:rPr>
                <w:rFonts w:hint="eastAsia" w:ascii="宋体" w:hAnsi="宋体" w:eastAsia="宋体" w:cs="宋体"/>
                <w:sz w:val="24"/>
              </w:rPr>
            </w:r>
            <w:r/>
          </w:p>
        </w:tc>
        <w:tc>
          <w:tcPr>
            <w:tcW w:w="5490" w:type="dxa"/>
            <w:vAlign w:val="center"/>
            <w:vMerge w:val="continue"/>
            <w:textDirection w:val="lrTb"/>
            <w:noWrap w:val="false"/>
          </w:tcPr>
          <w:p>
            <w:pPr>
              <w:pStyle w:val="1270"/>
              <w:ind w:firstLine="480"/>
              <w:pageBreakBefore w:val="0"/>
              <w:spacing w:line="440" w:lineRule="exact"/>
              <w:rPr>
                <w:rFonts w:hint="eastAsia" w:ascii="宋体" w:hAnsi="宋体" w:eastAsia="宋体" w:cs="宋体"/>
                <w:bCs/>
                <w:sz w:val="24"/>
              </w:rPr>
            </w:pPr>
            <w:r>
              <w:rPr>
                <w:rFonts w:hint="eastAsia" w:ascii="宋体" w:hAnsi="宋体" w:eastAsia="宋体" w:cs="宋体"/>
                <w:bCs/>
                <w:sz w:val="24"/>
              </w:rPr>
            </w:r>
            <w:r/>
          </w:p>
        </w:tc>
      </w:tr>
    </w:tbl>
    <w:p>
      <w:pPr>
        <w:pStyle w:val="1331"/>
        <w:numPr>
          <w:ilvl w:val="0"/>
          <w:numId w:val="14"/>
        </w:numPr>
        <w:pageBreakBefore w:val="0"/>
        <w:spacing w:line="440" w:lineRule="exact"/>
        <w:rPr>
          <w:rFonts w:hint="eastAsia" w:ascii="宋体" w:hAnsi="宋体" w:eastAsia="宋体" w:cs="宋体"/>
          <w:b/>
          <w:color w:val="000000"/>
          <w:sz w:val="24"/>
        </w:rPr>
      </w:pPr>
      <w:r>
        <w:rPr>
          <w:rFonts w:hint="eastAsia" w:ascii="宋体" w:hAnsi="宋体" w:eastAsia="宋体" w:cs="宋体"/>
          <w:b/>
          <w:color w:val="000000"/>
          <w:sz w:val="24"/>
        </w:rPr>
        <w:t xml:space="preserve">运维监督和质控核查要求 </w:t>
      </w:r>
      <w:r>
        <w:rPr>
          <w:rFonts w:hint="eastAsia" w:ascii="宋体" w:hAnsi="宋体" w:eastAsia="宋体" w:cs="宋体"/>
          <w:b/>
          <w:color w:val="000000"/>
          <w:sz w:val="24"/>
        </w:rPr>
      </w:r>
      <w:r/>
    </w:p>
    <w:p>
      <w:pPr>
        <w:pStyle w:val="1270"/>
        <w:ind w:firstLine="482"/>
        <w:pageBreakBefore w:val="0"/>
        <w:spacing w:line="440" w:lineRule="exact"/>
        <w:rPr>
          <w:rFonts w:hint="eastAsia" w:ascii="宋体" w:hAnsi="宋体" w:eastAsia="宋体" w:cs="宋体"/>
          <w:b/>
          <w:sz w:val="24"/>
        </w:rPr>
      </w:pPr>
      <w:r>
        <w:rPr>
          <w:rFonts w:hint="eastAsia" w:ascii="宋体" w:hAnsi="宋体" w:eastAsia="宋体" w:cs="宋体"/>
          <w:b/>
          <w:sz w:val="24"/>
        </w:rPr>
        <w:t xml:space="preserve">1、总体要求 </w:t>
      </w:r>
      <w:r>
        <w:rPr>
          <w:rFonts w:hint="eastAsia" w:ascii="宋体" w:hAnsi="宋体" w:eastAsia="宋体" w:cs="宋体"/>
          <w:b/>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1.1凡标有“▲”的内容均被视为重要的技术要求和性能指标。投标人要特别加以注意，必须对此回答，若不满足该项不得分。</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1.2投标人资金保证充足。</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 ▲1.3 投标人应提供完整的运维监督和质控核查实施方案。明确运维监督和质控核查周期、 内容及技术保障。</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 ▲1.4 在运维监督及质控管理期间，在合同约束范围内中标单位拥有管理自主权；不能以任何形式外包合同规定的质控任务。</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 ▲1.5 投标人应提供完整的项目进度计划安排、关键节点的控制措施、各阶段进度的质量保证措施等。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▲1.6投标人应提供运维质控检查应急预案，预案应对质控期间可能出现的影响系统运行和 数据质量的问题提供有效解决措施。 </w:t>
      </w:r>
      <w:r>
        <w:rPr>
          <w:rFonts w:hint="eastAsia" w:ascii="宋体" w:hAnsi="宋体" w:eastAsia="宋体" w:cs="宋体"/>
          <w:bCs/>
          <w:sz w:val="24"/>
        </w:rPr>
      </w:r>
      <w:r/>
    </w:p>
    <w:p>
      <w:pPr>
        <w:pStyle w:val="1270"/>
        <w:ind w:firstLine="482"/>
        <w:pageBreakBefore w:val="0"/>
        <w:spacing w:line="440" w:lineRule="exact"/>
        <w:rPr>
          <w:rFonts w:hint="eastAsia" w:ascii="宋体" w:hAnsi="宋体" w:eastAsia="宋体" w:cs="宋体"/>
          <w:b/>
          <w:sz w:val="24"/>
        </w:rPr>
      </w:pPr>
      <w:r>
        <w:rPr>
          <w:rFonts w:hint="eastAsia" w:ascii="宋体" w:hAnsi="宋体" w:eastAsia="宋体" w:cs="宋体"/>
          <w:b/>
          <w:sz w:val="24"/>
        </w:rPr>
        <w:t xml:space="preserve">2、人员、车辆、设备配备要求 </w:t>
      </w:r>
      <w:r>
        <w:rPr>
          <w:rFonts w:hint="eastAsia" w:ascii="宋体" w:hAnsi="宋体" w:eastAsia="宋体" w:cs="宋体"/>
          <w:b/>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2.1 投标单位应承诺为本项目应保证配备足够的专业技术人员以及运维专用车辆。包括2名专职运维质控检查人员和1名驻场服务人员（非质控检查人员），1辆专用车辆。针对上述内容，投标人须按要求提供证明材料或承诺函并加盖公章（格式自拟）</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2.2投标单位应承诺为本项目配备用于质量控制的符合资质认定的质量保证实验室。 针对上述内容，投标人须按要求提供证明材料或承诺函并加盖公章（格式自拟）。</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 2.3投标单位单位应承诺配备通过计量检定或校准的质控核查设备及标准品，用于开展水质自动站的质控核查工作，水站的质控核查所需的工具均需不少于 2 套，水质自动站配备包括便携式五参数及相关有证标准物质（格式自拟）。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▲2.4投标单位须在中标后一个月（30 日历日）内，配齐全部投标所述的车辆和质控核查设备，并向业主单位提交已有、采购的证明材料（车辆接受租赁，如为租赁合同，则租赁合同周期需至少覆盖 2026年全年），否则业主单位有权以投标单位虚假应标为由解除合同，要求投标单位退还已支付的全部费用，扣除履约保证金，并进一步追究检查单位相关责任。针对上述内容，投标人须按要求提供证明材料或承诺函并加盖公章（格式自拟）。</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2.5投标单位需具备良好的质量管理体系，满足水站质量控制的要求；同时需保障核查人员身心健康。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2.6承担或参与过项目中涉及的水质自动站建设及运维单位不得参加本项目投标。 </w:t>
      </w:r>
      <w:r>
        <w:rPr>
          <w:rFonts w:hint="eastAsia" w:ascii="宋体" w:hAnsi="宋体" w:eastAsia="宋体" w:cs="宋体"/>
          <w:bCs/>
          <w:sz w:val="24"/>
        </w:rPr>
      </w:r>
      <w:r/>
    </w:p>
    <w:p>
      <w:pPr>
        <w:pStyle w:val="1270"/>
        <w:ind w:firstLine="482"/>
        <w:pageBreakBefore w:val="0"/>
        <w:spacing w:line="440" w:lineRule="exact"/>
        <w:rPr>
          <w:rFonts w:hint="eastAsia" w:ascii="宋体" w:hAnsi="宋体" w:eastAsia="宋体" w:cs="宋体"/>
          <w:b/>
          <w:sz w:val="24"/>
        </w:rPr>
      </w:pPr>
      <w:r>
        <w:rPr>
          <w:rFonts w:hint="eastAsia" w:ascii="宋体" w:hAnsi="宋体" w:eastAsia="宋体" w:cs="宋体"/>
          <w:b/>
          <w:sz w:val="24"/>
        </w:rPr>
        <w:t xml:space="preserve">3、工作要求 </w:t>
      </w:r>
      <w:r>
        <w:rPr>
          <w:rFonts w:hint="eastAsia" w:ascii="宋体" w:hAnsi="宋体" w:eastAsia="宋体" w:cs="宋体"/>
          <w:b/>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3.1投标单位应按国家、省、市相关技术要求，提供详细的运维监督和质控核查实施计划。随机检查原则上不通知运维单位，独立完成相关工作。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3.2每月提交工作报告，内容包括：数据质量情况，现场检查情况、问题汇总和处理建议等，形成问题清单报告报监控中心，由监控中心通报督促第三方运维单位进行整改。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3.3根据监控中心要求开展飞行检查、专项核查等工作。 </w:t>
      </w:r>
      <w:r>
        <w:rPr>
          <w:rFonts w:hint="eastAsia" w:ascii="宋体" w:hAnsi="宋体" w:eastAsia="宋体" w:cs="宋体"/>
          <w:bCs/>
          <w:sz w:val="24"/>
        </w:rPr>
      </w:r>
      <w:r/>
    </w:p>
    <w:p>
      <w:pPr>
        <w:pStyle w:val="1270"/>
        <w:ind w:firstLine="482"/>
        <w:pageBreakBefore w:val="0"/>
        <w:spacing w:line="440" w:lineRule="exact"/>
        <w:rPr>
          <w:rFonts w:hint="eastAsia" w:ascii="宋体" w:hAnsi="宋体" w:eastAsia="宋体" w:cs="宋体"/>
          <w:b/>
          <w:sz w:val="24"/>
        </w:rPr>
      </w:pPr>
      <w:r>
        <w:rPr>
          <w:rFonts w:hint="eastAsia" w:ascii="宋体" w:hAnsi="宋体" w:eastAsia="宋体" w:cs="宋体"/>
          <w:b/>
          <w:sz w:val="24"/>
        </w:rPr>
        <w:t xml:space="preserve">4、工作内容 </w:t>
      </w:r>
      <w:r>
        <w:rPr>
          <w:rFonts w:hint="eastAsia" w:ascii="宋体" w:hAnsi="宋体" w:eastAsia="宋体" w:cs="宋体"/>
          <w:b/>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4.1运维监督和质控体系检查中标单位按照监控中心的统一要求制定检查计划，赴点位开展运维监督和质控体系检查。每月对每个站点开展 1 次运维监督和质控体系检查。检查内容包括但不限于：（1）检查站房内外卫生、站房供电、空调、水泵等是否工作正常，协助开展防火、防 水及防盗相关设施完整性与有效性检查。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（2）检查水站不间断电源（UPS）、工控机、数采仪、视频监控设备、除藻装置及其它辅助设施工作是否正常。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（3）检查采配水单元是否正常，如采水栈桥、浮筒固定情况，自吸泵、增压泵、空气 泵等运行情况、手阀电动阀工作情况等。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（4）查看各台分析仪器的运行状态和主要技术参数，判断运行是否正常，查看采样管路、采样部件的清洁度、密封度等，查看试剂配置及更换时间，判断试剂是否在有效期内。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（5）查看控制单元状态是否正常，检查数据传输系统运行状态是否正常。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（6）检查站房内配套设施是否工作正常，如门禁、摄像头等。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（7）运维人员技术能力情况，检查运维人员配置、持证等情况。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（8）日常运维任务完成情况，包括运维巡检记录情况、养护维修情况、质控措施、文件制定等，查看运维计划执行情况。检查要求参照《江苏省地表水自动监测站运行管理办法 （试行）》（苏环办[2020]174 号）执行。如江苏省有更新下发管理要求，按新管理要求同 步执行。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（9）根据每次运维体系检查结果，可增加重点环节的专项检查。</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4.2专项质控核查工作</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专项质控核查工作主要包括现场五参数比对、盲样考核、水样比对等。专项质控核查工作全部站点每月 1 次。其中需开展现场比对的项目为水温、pH、溶解氧、电导率和浊度。水样比对的项目为高锰酸盐指数、氨氮、总磷、总氮。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（1）现场五参数比对</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 由中标单位每月开展 1 次水质自动监测站常规五参数的现场比对，现场比对监测仪器须 满足环境保护相关技术规范要求，经过检定/校准。中标单位需按要求进行记录，并对比对 结果进行统计分析，形成比对报告。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（2）盲样考核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由中标单位每月开展 1 次高锰酸盐指数、氨氮、总磷和总氮、挥发酚、挥发性有机物的盲样考核，中标单位根据被考核站点最近两个月的监测结果，选择浓度接近的有证标准物质，在实验室中配制好，盛装于符合要求的容器内，在规定时间内携带至现场，进行测定并按要求记录结果。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（3）加标回收考核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 由中标单位每两月开展 1 次高锰酸盐指数、氨氮、总磷和总氮的加标回收考核工作，中标单位根据被考核站点最近两个月的监测结果，选择浓度接近的有证标准物质，在现场使用测试过的实际水样配制好，进行测定并按要求记录结果。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（4）视频监控检查</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sz w:val="24"/>
        </w:rPr>
        <w:t xml:space="preserve">现场维护工程师</w:t>
      </w:r>
      <w:r>
        <w:rPr>
          <w:rFonts w:hint="eastAsia" w:ascii="宋体" w:hAnsi="宋体" w:eastAsia="宋体" w:cs="宋体"/>
          <w:bCs/>
          <w:sz w:val="24"/>
        </w:rPr>
        <w:t xml:space="preserve">定期对水站的视频监控进行检查，对视频设备运行状态、水站周边环境及水站运维单位的工作情况进行核查，并按要求记录监控情况。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4.3参与飞行检查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监控中心根据例行运维检查、现场比对、盲样考核和水样比对结果，结合各点位水质异常波动情况，组织专家组，对部分“监测结果存疑”点位或针对投诉、举报等各种渠道反馈的有人为干扰嫌疑的点位开展飞行检查。中标单位每年参与 1 次飞行检查，负责相应的技术支持工作。</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4.4防人为干扰检查：水站周边环境进行月巡查，巡查范围要求河流型水站应覆盖站点采水口上下游1公里范围，湖泊型水站应覆盖站点500米半径范围，并用无人机进行巡查。检查内容包括是否有直接或者间接影响采样设备正常工作的问题，站点采水口或断面周边范围内是否存在漂浮物、藻类、水草、垃圾等影响水质的杂物堆积，是否有对采水环境实施人为干预，造成河流或湖泊现状改变，是否有对采水环境实施人为干预，造成水体环境改变，是否有其他人为干扰采样的行为等。防人为干扰检查过程中发现可疑问题需立刻上报常州市生态环境监控中心溧阳分中心。</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 4.5驻场服务 </w:t>
      </w:r>
      <w:r>
        <w:rPr>
          <w:rFonts w:hint="eastAsia" w:ascii="宋体" w:hAnsi="宋体" w:eastAsia="宋体" w:cs="宋体"/>
          <w:bCs/>
          <w:sz w:val="24"/>
        </w:rPr>
      </w:r>
      <w:r/>
    </w:p>
    <w:p>
      <w:pPr>
        <w:pStyle w:val="1270"/>
        <w:contextualSpacing/>
        <w:ind w:firstLine="482"/>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中标单位需安排</w:t>
      </w:r>
      <w:r>
        <w:rPr>
          <w:rFonts w:hint="eastAsia" w:ascii="宋体" w:hAnsi="宋体" w:eastAsia="宋体" w:cs="宋体"/>
          <w:sz w:val="24"/>
        </w:rPr>
        <w:t xml:space="preserve">1名专职工程师开展长期现场维护工作</w:t>
      </w:r>
      <w:r>
        <w:rPr>
          <w:rFonts w:hint="eastAsia" w:ascii="宋体" w:hAnsi="宋体" w:eastAsia="宋体" w:cs="宋体"/>
          <w:bCs/>
          <w:sz w:val="24"/>
        </w:rPr>
        <w:t xml:space="preserve">，具体工作由监控中心统一安排，包括但不限于数据监控、审核、统计、分析等内容。现场维护工程师需通过监控中心的考核、所有费用支出均由中标单位承担。</w:t>
      </w:r>
      <w:r>
        <w:rPr>
          <w:rFonts w:hint="eastAsia" w:ascii="宋体" w:hAnsi="宋体" w:eastAsia="宋体" w:cs="宋体"/>
          <w:bCs/>
          <w:sz w:val="24"/>
        </w:rPr>
      </w:r>
      <w:r/>
    </w:p>
    <w:p>
      <w:pPr>
        <w:pStyle w:val="1270"/>
        <w:ind w:firstLine="482"/>
        <w:pageBreakBefore w:val="0"/>
        <w:spacing w:line="440" w:lineRule="exact"/>
        <w:rPr>
          <w:rFonts w:hint="eastAsia" w:ascii="宋体" w:hAnsi="宋体" w:eastAsia="宋体" w:cs="宋体"/>
          <w:b/>
          <w:sz w:val="24"/>
        </w:rPr>
      </w:pPr>
      <w:r>
        <w:rPr>
          <w:rFonts w:hint="eastAsia" w:ascii="宋体" w:hAnsi="宋体" w:eastAsia="宋体" w:cs="宋体"/>
          <w:b/>
          <w:sz w:val="24"/>
        </w:rPr>
        <w:t xml:space="preserve">5、监督考核要求</w:t>
      </w:r>
      <w:r>
        <w:rPr>
          <w:rFonts w:hint="eastAsia" w:ascii="宋体" w:hAnsi="宋体" w:eastAsia="宋体" w:cs="宋体"/>
          <w:b/>
          <w:sz w:val="24"/>
        </w:rPr>
      </w:r>
      <w:r/>
    </w:p>
    <w:p>
      <w:pPr>
        <w:pStyle w:val="1270"/>
        <w:contextualSpacing/>
        <w:ind w:firstLine="482"/>
        <w:jc w:val="left"/>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 监控中心组织开展运维检查成效的考核，对达不到要求的或违规操作的，监控中心可以扣减相应费用，并有权终止合同。</w:t>
      </w:r>
      <w:r>
        <w:rPr>
          <w:rFonts w:hint="eastAsia" w:ascii="宋体" w:hAnsi="宋体" w:eastAsia="宋体" w:cs="宋体"/>
          <w:bCs/>
          <w:sz w:val="24"/>
        </w:rPr>
      </w:r>
      <w:r/>
    </w:p>
    <w:p>
      <w:pPr>
        <w:pStyle w:val="1270"/>
        <w:contextualSpacing/>
        <w:ind w:firstLine="482"/>
        <w:jc w:val="left"/>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5.1监督管理 </w:t>
      </w:r>
      <w:r>
        <w:rPr>
          <w:rFonts w:hint="eastAsia" w:ascii="宋体" w:hAnsi="宋体" w:eastAsia="宋体" w:cs="宋体"/>
          <w:bCs/>
          <w:sz w:val="24"/>
        </w:rPr>
      </w:r>
      <w:r/>
    </w:p>
    <w:p>
      <w:pPr>
        <w:pStyle w:val="1270"/>
        <w:contextualSpacing/>
        <w:ind w:firstLine="482"/>
        <w:jc w:val="left"/>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（1）数据必须真实有效，投标人近 3 年内，在环境监测服务活动中必须没有弄虚作假行为（请投标人根据本单位实际情况咨询承诺，若有不实，按提供虚假资料处理，投标及中标无效，并承担相关法律责任）。 </w:t>
      </w:r>
      <w:r>
        <w:rPr>
          <w:rFonts w:hint="eastAsia" w:ascii="宋体" w:hAnsi="宋体" w:eastAsia="宋体" w:cs="宋体"/>
          <w:bCs/>
          <w:sz w:val="24"/>
        </w:rPr>
      </w:r>
      <w:r/>
    </w:p>
    <w:p>
      <w:pPr>
        <w:pStyle w:val="1270"/>
        <w:contextualSpacing/>
        <w:ind w:firstLine="482"/>
        <w:jc w:val="left"/>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（2）监控中心对中标方提供的质控服务每季度评估一次。如中标方未能按招标要求提供合同全部服务，且未能在要求的整改期内完成整改，监控中心有权解除合同。</w:t>
      </w:r>
      <w:r>
        <w:rPr>
          <w:rFonts w:hint="eastAsia" w:ascii="宋体" w:hAnsi="宋体" w:eastAsia="宋体" w:cs="宋体"/>
          <w:bCs/>
          <w:sz w:val="24"/>
        </w:rPr>
      </w:r>
      <w:r/>
    </w:p>
    <w:p>
      <w:pPr>
        <w:pStyle w:val="1270"/>
        <w:contextualSpacing/>
        <w:ind w:firstLine="482"/>
        <w:jc w:val="left"/>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 （3）现场检查单位应承担监测数据的保密责任（签订保密协议），不得利用本项目的数据、档案或有关资料对外开展技术交流、业务联系、数据交换等。否则，有权终止合同， 并追究相关法律责任。 </w:t>
      </w:r>
      <w:r>
        <w:rPr>
          <w:rFonts w:hint="eastAsia" w:ascii="宋体" w:hAnsi="宋体" w:eastAsia="宋体" w:cs="宋体"/>
          <w:bCs/>
          <w:sz w:val="24"/>
        </w:rPr>
      </w:r>
      <w:r/>
    </w:p>
    <w:p>
      <w:pPr>
        <w:pStyle w:val="1270"/>
        <w:contextualSpacing/>
        <w:ind w:firstLine="482"/>
        <w:jc w:val="left"/>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5.2考核办法及经费支付</w:t>
      </w:r>
      <w:r>
        <w:rPr>
          <w:rFonts w:hint="eastAsia" w:ascii="宋体" w:hAnsi="宋体" w:eastAsia="宋体" w:cs="宋体"/>
          <w:bCs/>
          <w:sz w:val="24"/>
        </w:rPr>
      </w:r>
      <w:r/>
    </w:p>
    <w:p>
      <w:pPr>
        <w:pStyle w:val="1270"/>
        <w:contextualSpacing/>
        <w:ind w:firstLine="482"/>
        <w:jc w:val="left"/>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5. 2.1.考核方法：按季度对每个自动站（点位）单独考核，考核内容包括监控中心对中 标人每月提供的质控检查结果的评价，以及报送的记录档案。 </w:t>
      </w:r>
      <w:r>
        <w:rPr>
          <w:rFonts w:hint="eastAsia" w:ascii="宋体" w:hAnsi="宋体" w:eastAsia="宋体" w:cs="宋体"/>
          <w:bCs/>
          <w:sz w:val="24"/>
        </w:rPr>
      </w:r>
      <w:r/>
    </w:p>
    <w:p>
      <w:pPr>
        <w:pStyle w:val="1270"/>
        <w:contextualSpacing/>
        <w:ind w:firstLine="482"/>
        <w:jc w:val="left"/>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5.2.2 评价原则 按季度进行考核，季度内质控检查的所有自动站为统计基础，自动站数按月累计。 </w:t>
      </w:r>
      <w:r>
        <w:rPr>
          <w:rFonts w:hint="eastAsia" w:ascii="宋体" w:hAnsi="宋体" w:eastAsia="宋体" w:cs="宋体"/>
          <w:bCs/>
          <w:sz w:val="24"/>
        </w:rPr>
      </w:r>
      <w:r/>
    </w:p>
    <w:p>
      <w:pPr>
        <w:pStyle w:val="1270"/>
        <w:contextualSpacing/>
        <w:ind w:firstLine="482"/>
        <w:jc w:val="left"/>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（1）季度内出现10%的自动站未完成现场质控检查任务；在外部质量监督检查中，合格率低于 80%，高于70%的；满足以上两条中一条，即为初级警告，并责令整改； </w:t>
      </w:r>
      <w:r>
        <w:rPr>
          <w:rFonts w:hint="eastAsia" w:ascii="宋体" w:hAnsi="宋体" w:eastAsia="宋体" w:cs="宋体"/>
          <w:bCs/>
          <w:sz w:val="24"/>
        </w:rPr>
      </w:r>
      <w:r/>
    </w:p>
    <w:p>
      <w:pPr>
        <w:pStyle w:val="1270"/>
        <w:contextualSpacing/>
        <w:ind w:firstLine="482"/>
        <w:jc w:val="left"/>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（2）季度内出现15%的自动站未完成现场质控检查任务；在外部质量监督检查中，合格率低于70%，高于60%的；满足以上两条中一条，即为二级警告，扣除当前季度费用的 10%， 并责令整改； </w:t>
      </w:r>
      <w:r>
        <w:rPr>
          <w:rFonts w:hint="eastAsia" w:ascii="宋体" w:hAnsi="宋体" w:eastAsia="宋体" w:cs="宋体"/>
          <w:bCs/>
          <w:sz w:val="24"/>
        </w:rPr>
      </w:r>
      <w:r/>
    </w:p>
    <w:p>
      <w:pPr>
        <w:pStyle w:val="1270"/>
        <w:contextualSpacing/>
        <w:ind w:firstLine="482"/>
        <w:jc w:val="left"/>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（3）季度内出现20%的自动站未完成现场质控检查任务；在外部质量监督检查中，合格率低于 50%或出现弄虚作假等严重质量问题的；满足以上两条中一条，取消合同。</w:t>
      </w:r>
      <w:r>
        <w:rPr>
          <w:rFonts w:hint="eastAsia" w:ascii="宋体" w:hAnsi="宋体" w:eastAsia="宋体" w:cs="宋体"/>
          <w:bCs/>
          <w:sz w:val="24"/>
        </w:rPr>
      </w:r>
      <w:r/>
    </w:p>
    <w:p>
      <w:pPr>
        <w:pStyle w:val="1270"/>
        <w:contextualSpacing/>
        <w:ind w:firstLine="482"/>
        <w:jc w:val="left"/>
        <w:pageBreakBefore w:val="0"/>
        <w:spacing w:line="440" w:lineRule="exact"/>
        <w:rPr>
          <w:rFonts w:hint="eastAsia" w:ascii="宋体" w:hAnsi="宋体" w:eastAsia="宋体" w:cs="宋体"/>
        </w:rPr>
      </w:pPr>
      <w:r>
        <w:rPr>
          <w:rFonts w:hint="eastAsia" w:ascii="宋体" w:hAnsi="宋体" w:eastAsia="宋体" w:cs="宋体"/>
          <w:bCs/>
          <w:sz w:val="24"/>
        </w:rPr>
        <w:t xml:space="preserve"> 2.3 经费支付按照季度考核结果统计，待一个服务周期结束后按实支付。</w:t>
      </w:r>
      <w:r>
        <w:rPr>
          <w:rFonts w:hint="eastAsia" w:ascii="宋体" w:hAnsi="宋体" w:eastAsia="宋体" w:cs="宋体"/>
        </w:rPr>
      </w:r>
      <w:r/>
    </w:p>
    <w:p>
      <w:pPr>
        <w:pStyle w:val="1275"/>
        <w:pageBreakBefore w:val="0"/>
        <w:spacing w:before="0" w:line="440" w:lineRule="exact"/>
        <w:tabs>
          <w:tab w:val="left" w:pos="567" w:leader="none"/>
        </w:tabs>
        <w:rPr>
          <w:rFonts w:hint="eastAsia" w:ascii="宋体" w:hAnsi="宋体" w:eastAsia="宋体" w:cs="宋体"/>
          <w:b/>
        </w:rPr>
      </w:pPr>
      <w:r>
        <w:rPr>
          <w:rFonts w:hint="eastAsia" w:ascii="宋体" w:hAnsi="宋体" w:eastAsia="宋体" w:cs="宋体"/>
          <w:b/>
        </w:rPr>
        <w:t xml:space="preserve">采购包4：环境质量自动监测监控平台运维服务</w:t>
      </w:r>
      <w:r>
        <w:rPr>
          <w:rFonts w:hint="eastAsia" w:ascii="宋体" w:hAnsi="宋体" w:eastAsia="宋体" w:cs="宋体"/>
          <w:b/>
        </w:rPr>
      </w:r>
      <w:r/>
    </w:p>
    <w:p>
      <w:pPr>
        <w:pStyle w:val="1270"/>
        <w:contextualSpacing/>
        <w:ind w:firstLine="422"/>
        <w:pageBreakBefore w:val="0"/>
        <w:spacing w:line="440" w:lineRule="exact"/>
        <w:rPr>
          <w:rFonts w:hint="eastAsia" w:ascii="宋体" w:hAnsi="宋体" w:eastAsia="宋体" w:cs="宋体"/>
          <w:sz w:val="24"/>
        </w:rPr>
      </w:pPr>
      <w:r>
        <w:rPr>
          <w:rFonts w:hint="eastAsia" w:ascii="宋体" w:hAnsi="宋体" w:eastAsia="宋体" w:cs="宋体"/>
          <w:b/>
        </w:rPr>
        <w:t xml:space="preserve">1.采购内容</w:t>
      </w:r>
      <w:r>
        <w:rPr>
          <w:rFonts w:hint="eastAsia" w:ascii="宋体" w:hAnsi="宋体" w:eastAsia="宋体" w:cs="宋体"/>
        </w:rPr>
        <w:t xml:space="preserve">：</w:t>
      </w:r>
      <w:r>
        <w:rPr>
          <w:rFonts w:hint="eastAsia" w:ascii="宋体" w:hAnsi="宋体" w:eastAsia="宋体" w:cs="宋体"/>
          <w:sz w:val="24"/>
        </w:rPr>
        <w:t xml:space="preserve">环境质量自动监测监控平台包括空气质量自动监测监控综合应用平台与水质监控预警平台。为满足环境监测新业务和网络信息系统安全性的要求，需对平台进行维护。维护内容包括平台、自动站数据采集传输、数据库系统、数据服务接口、数据共享交换等内容，并根据需要对平台功能进行完善与优化，保证平台安全、可靠、稳定运行。</w:t>
      </w:r>
      <w:r>
        <w:rPr>
          <w:rFonts w:hint="eastAsia" w:ascii="宋体" w:hAnsi="宋体" w:eastAsia="宋体" w:cs="宋体"/>
          <w:sz w:val="24"/>
        </w:rPr>
      </w:r>
      <w:r/>
    </w:p>
    <w:p>
      <w:pPr>
        <w:pStyle w:val="1271"/>
        <w:ind w:firstLine="422"/>
        <w:jc w:val="left"/>
        <w:pageBreakBefore w:val="0"/>
        <w:spacing w:before="0" w:after="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2.运维服务范围</w:t>
      </w:r>
      <w:r>
        <w:rPr>
          <w:rFonts w:hint="eastAsia" w:ascii="宋体" w:hAnsi="宋体" w:eastAsia="宋体" w:cs="宋体"/>
          <w:color w:val="000000"/>
          <w:sz w:val="21"/>
          <w:szCs w:val="21"/>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运维服务包括自动站软件、数据库、平台与接口维护、系统安全性维护等，运维服务范围主要包括如下内容：</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空气、水质自动站数据采集系统</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空气、水质数据通讯系统</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空气、水质数据库系统</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空气质量自动监测监控综合应用平台</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水质监控预警平台</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空气质量数据接口</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AQI数据发布接口</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水质数据接口</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空气、水质平台所属服务器（系统级维护、性能优化）</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空气、水质自动站工控机（系统级维护、性能优化）</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数据安全性、应用安全性及系统安全性保障</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系统加固与漏洞修复</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数据服务与数据共享交换</w:t>
      </w:r>
      <w:r>
        <w:rPr>
          <w:rFonts w:hint="eastAsia" w:ascii="宋体" w:hAnsi="宋体" w:eastAsia="宋体" w:cs="宋体"/>
          <w:sz w:val="24"/>
        </w:rPr>
      </w:r>
      <w:r/>
    </w:p>
    <w:p>
      <w:pPr>
        <w:pStyle w:val="1270"/>
        <w:ind w:firstLine="472"/>
        <w:pageBreakBefore w:val="0"/>
        <w:spacing w:line="440" w:lineRule="exact"/>
        <w:rPr>
          <w:rFonts w:hint="eastAsia" w:ascii="宋体" w:hAnsi="宋体" w:eastAsia="宋体" w:cs="宋体"/>
          <w:spacing w:val="-2"/>
          <w:sz w:val="24"/>
        </w:rPr>
      </w:pPr>
      <w:r>
        <w:rPr>
          <w:rFonts w:hint="eastAsia" w:ascii="宋体" w:hAnsi="宋体" w:eastAsia="宋体" w:cs="宋体"/>
          <w:spacing w:val="-2"/>
          <w:sz w:val="24"/>
        </w:rPr>
        <w:t xml:space="preserve">现有平台功能的优化</w:t>
      </w:r>
      <w:r>
        <w:rPr>
          <w:rFonts w:hint="eastAsia" w:ascii="宋体" w:hAnsi="宋体" w:eastAsia="宋体" w:cs="宋体"/>
          <w:spacing w:val="-2"/>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新站点、新仪器的数据接入</w:t>
      </w:r>
      <w:r>
        <w:rPr>
          <w:rFonts w:hint="eastAsia" w:ascii="宋体" w:hAnsi="宋体" w:eastAsia="宋体" w:cs="宋体"/>
          <w:sz w:val="24"/>
        </w:rPr>
      </w:r>
      <w:r/>
    </w:p>
    <w:p>
      <w:pPr>
        <w:pStyle w:val="1271"/>
        <w:ind w:firstLine="482"/>
        <w:jc w:val="left"/>
        <w:pageBreakBefore w:val="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3.运维服务要求</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3.1总体要求：运维服务应满足国家和地方相关环境质量自动监测规范中提出的管理 和技术要求，接受各级生态环境主管部门的检查、监督和考核，提供软件功能升级服务，安排足够的技术人员为运维服务质量提供保障，保证自动监测系统符合规范的运行率，详细记录、及时总结运行维护工作。满足信息系统安全要求，在网络安全检测中发现的漏洞及时修复，有详细可操作的系统故障处置应急预案，有确保系统安全、应用安全和数据安全的措施。、</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3.2运维管理：运维机构须严格按照运维合同、方案以及国家、省、市等相关运行管理制度及规定开展运维工作；</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3.3运维方案：运维机构负责制定详细的运维方案（需在投标标书中提供），方案应按照运维服务内容的要求提供，日常运维工作需严格按照方案执行，并做好相关记录； </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3.4人员保障：应保证运维人员的稳定性，需配备至少2名经过培训或有运维经验人员对自动站数采、通讯、平台、接口等进行定期巡检与维护；</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3.5服务响应：一般性故障问题应在1小时内响应并解决，如需要到现场解决，应在3小时内到达并解决。短时无法排除的故障，应及时报告采购方，共同协商后解决。在重大保障及特殊应急状况下，应服从本采购方的调度安排；</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3.6安全性保障：定期对服务器、工控机进行安全性检查和数据备份工作；</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3.7保证新增站点、新增仪器设备的数据接入，并能按照要求对平台功能进行相应的完善和补充。</w:t>
      </w:r>
      <w:r>
        <w:rPr>
          <w:rFonts w:hint="eastAsia" w:ascii="宋体" w:hAnsi="宋体" w:eastAsia="宋体" w:cs="宋体"/>
          <w:sz w:val="24"/>
        </w:rPr>
      </w:r>
      <w:r/>
    </w:p>
    <w:p>
      <w:pPr>
        <w:pStyle w:val="1271"/>
        <w:ind w:firstLine="482"/>
        <w:jc w:val="left"/>
        <w:pageBreakBefore w:val="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4.运维服务其它要求</w:t>
      </w:r>
      <w:r>
        <w:rPr>
          <w:rFonts w:hint="eastAsia" w:ascii="宋体" w:hAnsi="宋体" w:eastAsia="宋体" w:cs="宋体"/>
          <w:color w:val="000000"/>
          <w:sz w:val="24"/>
          <w:szCs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4.1本次采购提供的运行维护服务包括但不限于日常运行维护、故障解决、系统备份、网络通讯等。如工控机、服务器等设备在正常运行过程中发生故障，运维单位需及时与采购方汇报，但因运维人员操作错误造成设备损坏，维修及配件更换费用由运行维护方自行承担。</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4.2参与履行运行维护服务本项目的运维机构及所有人员，对工作中所涉的数据、资料及文件等负有保密义务，任何情况不得向第三方泄露。如存在上述情况，将按严重违约行为依法追究运维机构相关责任。</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4.3如单个站点当月有效日均数据获取率不满足85%的要求，则运维周期顺延1个月（有效数据是指扣除仪器故障、外部网络中断及因不可抗拒力停机（如停电等）之后获取的监测数据量）。</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4.4运维机构存在下列行为之一的，采购方将按严重违约行为追究运行机构责任，并将其列入不合格运维商：</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（1）当仪器故障导致长周期停运情况（超过72小时）时，未书面汇报的；仪器故障导致长周期停运情况，经采购方书面审核，批复限定恢复时间后，仍不能按要求的时间节点恢复数据的。</w:t>
      </w:r>
      <w:r>
        <w:rPr>
          <w:rFonts w:hint="eastAsia" w:ascii="宋体" w:hAnsi="宋体" w:eastAsia="宋体" w:cs="宋体"/>
          <w:sz w:val="24"/>
        </w:rPr>
      </w:r>
      <w:r/>
    </w:p>
    <w:p>
      <w:pPr>
        <w:pStyle w:val="1270"/>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（2）运维机构（含人员）弄虚作假编造相关运维记录的；修改、伪造监测数据的。</w:t>
      </w:r>
      <w:r>
        <w:rPr>
          <w:rFonts w:hint="eastAsia" w:ascii="宋体" w:hAnsi="宋体" w:eastAsia="宋体" w:cs="宋体"/>
          <w:sz w:val="24"/>
        </w:rPr>
      </w:r>
      <w:r/>
    </w:p>
    <w:p>
      <w:pPr>
        <w:pStyle w:val="1275"/>
        <w:pageBreakBefore w:val="0"/>
        <w:spacing w:before="0" w:line="440" w:lineRule="exact"/>
        <w:tabs>
          <w:tab w:val="left" w:pos="567" w:leader="none"/>
        </w:tabs>
        <w:rPr>
          <w:rFonts w:hint="eastAsia" w:ascii="宋体" w:hAnsi="宋体" w:eastAsia="宋体" w:cs="宋体"/>
        </w:rPr>
      </w:pPr>
      <w:r>
        <w:rPr>
          <w:rFonts w:hint="eastAsia" w:ascii="宋体" w:hAnsi="宋体" w:eastAsia="宋体" w:cs="宋体"/>
        </w:rPr>
      </w:r>
      <w:r/>
    </w:p>
    <w:p>
      <w:pPr>
        <w:pStyle w:val="1275"/>
        <w:pageBreakBefore w:val="0"/>
        <w:spacing w:before="0" w:line="440" w:lineRule="exact"/>
        <w:tabs>
          <w:tab w:val="left" w:pos="567" w:leader="none"/>
        </w:tabs>
        <w:rPr>
          <w:rFonts w:hint="eastAsia" w:ascii="宋体" w:hAnsi="宋体" w:eastAsia="宋体" w:cs="宋体"/>
        </w:rPr>
      </w:pPr>
      <w:r>
        <w:rPr>
          <w:rFonts w:hint="eastAsia" w:ascii="宋体" w:hAnsi="宋体" w:eastAsia="宋体" w:cs="宋体"/>
        </w:rPr>
      </w:r>
      <w:r/>
    </w:p>
    <w:p>
      <w:pPr>
        <w:pStyle w:val="1557"/>
        <w:numPr>
          <w:ilvl w:val="0"/>
          <w:numId w:val="12"/>
        </w:numPr>
        <w:contextualSpacing/>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报价要求：</w:t>
      </w:r>
      <w:r>
        <w:rPr>
          <w:rFonts w:hint="eastAsia" w:ascii="宋体" w:hAnsi="宋体" w:eastAsia="宋体" w:cs="宋体"/>
          <w:b/>
          <w:color w:val="000000"/>
          <w:sz w:val="24"/>
          <w:szCs w:val="24"/>
        </w:rPr>
      </w:r>
      <w:r/>
    </w:p>
    <w:p>
      <w:pPr>
        <w:pStyle w:val="1270"/>
        <w:contextualSpacing/>
        <w:ind w:firstLine="48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1、供应商须对本项目中的所有服务进行投报，不得拆开投报或只投其中的部分内容，否则将作无效投标处理。</w:t>
      </w:r>
      <w:r>
        <w:rPr>
          <w:rFonts w:hint="eastAsia" w:ascii="宋体" w:hAnsi="宋体" w:eastAsia="宋体" w:cs="宋体"/>
          <w:bCs/>
          <w:sz w:val="24"/>
        </w:rPr>
      </w:r>
      <w:r/>
    </w:p>
    <w:p>
      <w:pPr>
        <w:pStyle w:val="1270"/>
        <w:ind w:firstLine="48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运维服务费用包括完成该项目工作所需的所有费用，包括运维费（含人工费、食宿费、交通工具使用费、各部分工作费用等）、专利技术费、中标服务费、项目利润、税费及政策性文件规定和合同所包含的所有风险、责任等各项应有费用。</w:t>
      </w:r>
      <w:r>
        <w:rPr>
          <w:rFonts w:hint="eastAsia" w:ascii="宋体" w:hAnsi="宋体" w:eastAsia="宋体" w:cs="宋体"/>
          <w:color w:val="000000"/>
          <w:sz w:val="24"/>
        </w:rPr>
      </w:r>
      <w:r/>
    </w:p>
    <w:p>
      <w:pPr>
        <w:pStyle w:val="1270"/>
        <w:ind w:firstLine="48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3、供应商在报价时应考虑各种风险因素，相关风险因素费用包含在报价总价中。风险因素包括遇重大活动、检查、突发情况、最低工资调整、物价调整、税费调整等。</w:t>
      </w:r>
      <w:r>
        <w:rPr>
          <w:rFonts w:hint="eastAsia" w:ascii="宋体" w:hAnsi="宋体" w:eastAsia="宋体" w:cs="宋体"/>
          <w:color w:val="000000"/>
          <w:sz w:val="24"/>
        </w:rPr>
      </w:r>
      <w:r/>
    </w:p>
    <w:p>
      <w:pPr>
        <w:pStyle w:val="1557"/>
        <w:numPr>
          <w:ilvl w:val="0"/>
          <w:numId w:val="12"/>
        </w:numPr>
        <w:contextualSpacing/>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其他</w:t>
      </w:r>
      <w:r>
        <w:rPr>
          <w:rFonts w:hint="eastAsia" w:ascii="宋体" w:hAnsi="宋体" w:eastAsia="宋体" w:cs="宋体"/>
          <w:b/>
          <w:color w:val="000000"/>
          <w:sz w:val="24"/>
          <w:szCs w:val="24"/>
        </w:rPr>
      </w:r>
      <w:r/>
    </w:p>
    <w:p>
      <w:pPr>
        <w:pStyle w:val="1270"/>
        <w:ind w:firstLine="480"/>
        <w:jc w:val="left"/>
        <w:pageBreakBefore w:val="0"/>
        <w:spacing w:line="44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运维人员在履行工作职责期间（包括上下班途中），发生自身的人身伤害、伤亡以及事故等，均由供应商负责处理并承担经济和道义上的责任，采购人不承担任何责任。供应商与所派遣的运维人员发生纠纷，均由供应商负责调解与处理，采购人不承担责任。</w:t>
      </w:r>
      <w:r>
        <w:rPr>
          <w:rFonts w:hint="eastAsia" w:ascii="宋体" w:hAnsi="宋体" w:eastAsia="宋体" w:cs="宋体"/>
          <w:color w:val="000000"/>
          <w:sz w:val="24"/>
          <w:lang w:val="zh-CN"/>
        </w:rPr>
      </w:r>
      <w:r/>
    </w:p>
    <w:p>
      <w:pPr>
        <w:pStyle w:val="1270"/>
        <w:jc w:val="center"/>
        <w:pageBreakBefore w:val="0"/>
        <w:spacing w:line="440" w:lineRule="exact"/>
        <w:widowControl/>
        <w:rPr>
          <w:rFonts w:hint="eastAsia" w:ascii="宋体" w:hAnsi="宋体" w:eastAsia="宋体" w:cs="宋体"/>
          <w:bCs/>
          <w:sz w:val="36"/>
          <w:szCs w:val="36"/>
          <w:highlight w:val="yellow"/>
        </w:rPr>
        <w:sectPr>
          <w:footerReference w:type="default" r:id="rId21"/>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eastAsia="宋体" w:cs="宋体"/>
          <w:bCs/>
          <w:sz w:val="36"/>
          <w:szCs w:val="36"/>
          <w:highlight w:val="yellow"/>
        </w:rPr>
      </w:r>
      <w:r/>
    </w:p>
    <w:p>
      <w:pPr>
        <w:pStyle w:val="1270"/>
        <w:jc w:val="center"/>
        <w:spacing w:line="440" w:lineRule="exact"/>
        <w:widowControl/>
        <w:rPr>
          <w:rFonts w:hint="eastAsia" w:ascii="宋体" w:hAnsi="宋体" w:cs="宋体"/>
          <w:b/>
          <w:sz w:val="36"/>
          <w:szCs w:val="36"/>
        </w:rPr>
      </w:pPr>
      <w:r>
        <w:rPr>
          <w:rFonts w:hint="eastAsia" w:ascii="宋体" w:hAnsi="宋体" w:cs="宋体"/>
          <w:b/>
          <w:sz w:val="36"/>
          <w:szCs w:val="36"/>
        </w:rPr>
        <w:t xml:space="preserve">第五章   合同草案条款</w:t>
      </w:r>
      <w:bookmarkEnd w:id="681"/>
      <w:r>
        <w:rPr>
          <w:rFonts w:hint="eastAsia" w:ascii="宋体" w:hAnsi="宋体" w:cs="宋体"/>
          <w:b/>
          <w:sz w:val="36"/>
          <w:szCs w:val="36"/>
        </w:rPr>
      </w:r>
      <w:r/>
    </w:p>
    <w:p>
      <w:pPr>
        <w:pStyle w:val="1270"/>
        <w:spacing w:line="440" w:lineRule="exact"/>
        <w:tabs>
          <w:tab w:val="left" w:pos="900" w:leader="none"/>
          <w:tab w:val="left" w:pos="1080" w:leader="none"/>
        </w:tabs>
        <w:rPr>
          <w:rFonts w:hint="eastAsia" w:ascii="宋体" w:hAnsi="宋体" w:cs="宋体"/>
          <w:sz w:val="18"/>
          <w:szCs w:val="18"/>
        </w:rPr>
      </w:pPr>
      <w:r/>
      <w:bookmarkStart w:id="686" w:name="_Toc104818930"/>
      <w:r>
        <w:rPr>
          <w:rFonts w:hint="eastAsia" w:ascii="宋体" w:hAnsi="宋体" w:cs="宋体"/>
          <w:sz w:val="18"/>
          <w:szCs w:val="18"/>
        </w:rPr>
      </w:r>
      <w:r/>
    </w:p>
    <w:p>
      <w:pPr>
        <w:pStyle w:val="1270"/>
        <w:spacing w:line="440" w:lineRule="exact"/>
        <w:rPr>
          <w:rFonts w:hint="eastAsia" w:ascii="宋体" w:hAnsi="宋体" w:cs="宋体"/>
          <w:sz w:val="24"/>
          <w:u w:val="single"/>
        </w:rPr>
      </w:pPr>
      <w:r>
        <w:rPr>
          <w:rFonts w:hint="eastAsia" w:ascii="宋体" w:hAnsi="宋体" w:cs="宋体"/>
          <w:sz w:val="24"/>
        </w:rPr>
        <w:t xml:space="preserve">合同编号：</w:t>
      </w:r>
      <w:r>
        <w:rPr>
          <w:rFonts w:hint="eastAsia" w:ascii="宋体" w:hAnsi="宋体" w:cs="宋体"/>
          <w:sz w:val="24"/>
          <w:u w:val="single"/>
        </w:rPr>
        <w:t xml:space="preserve">          </w:t>
      </w:r>
      <w:r>
        <w:rPr>
          <w:rFonts w:hint="eastAsia" w:ascii="宋体" w:hAnsi="宋体" w:cs="宋体"/>
          <w:sz w:val="24"/>
          <w:u w:val="single"/>
        </w:rPr>
      </w:r>
      <w:r/>
    </w:p>
    <w:p>
      <w:pPr>
        <w:pStyle w:val="1270"/>
        <w:jc w:val="center"/>
        <w:spacing w:line="440" w:lineRule="exact"/>
        <w:rPr>
          <w:rFonts w:hint="eastAsia" w:ascii="宋体" w:hAnsi="宋体" w:cs="宋体"/>
          <w:b/>
          <w:bCs/>
          <w:sz w:val="24"/>
        </w:rPr>
      </w:pPr>
      <w:r>
        <w:rPr>
          <w:rFonts w:hint="eastAsia" w:ascii="宋体" w:hAnsi="宋体" w:cs="宋体"/>
          <w:b/>
          <w:bCs/>
          <w:sz w:val="24"/>
        </w:rPr>
        <w:t xml:space="preserve">                                 </w:t>
      </w:r>
      <w:r>
        <w:rPr>
          <w:rFonts w:hint="eastAsia" w:ascii="宋体" w:hAnsi="宋体" w:cs="宋体"/>
          <w:sz w:val="24"/>
        </w:rPr>
        <w:t xml:space="preserve">参考格式</w:t>
      </w:r>
      <w:r>
        <w:rPr>
          <w:rFonts w:hint="eastAsia" w:ascii="宋体" w:hAnsi="宋体" w:cs="宋体"/>
          <w:b/>
          <w:bCs/>
          <w:sz w:val="24"/>
        </w:rPr>
        <w:t xml:space="preserve">                </w:t>
      </w:r>
      <w:r>
        <w:rPr>
          <w:rFonts w:hint="eastAsia" w:ascii="宋体" w:hAnsi="宋体" w:cs="宋体"/>
          <w:b/>
          <w:bCs/>
          <w:sz w:val="24"/>
        </w:rPr>
      </w:r>
      <w:r/>
    </w:p>
    <w:p>
      <w:pPr>
        <w:pStyle w:val="1270"/>
        <w:jc w:val="center"/>
        <w:spacing w:line="440" w:lineRule="exact"/>
        <w:rPr>
          <w:rFonts w:hint="eastAsia" w:ascii="宋体" w:hAnsi="宋体" w:cs="宋体"/>
          <w:b/>
          <w:bCs/>
          <w:sz w:val="24"/>
        </w:rPr>
      </w:pPr>
      <w:r>
        <w:rPr>
          <w:rFonts w:hint="eastAsia" w:ascii="宋体" w:hAnsi="宋体" w:cs="宋体"/>
          <w:b/>
          <w:bCs/>
          <w:sz w:val="24"/>
        </w:rPr>
        <w:t xml:space="preserve"> </w:t>
      </w:r>
      <w:r>
        <w:rPr>
          <w:rFonts w:hint="eastAsia" w:ascii="宋体" w:hAnsi="宋体" w:cs="宋体"/>
          <w:b/>
          <w:bCs/>
          <w:sz w:val="24"/>
        </w:rPr>
      </w:r>
      <w:r/>
    </w:p>
    <w:p>
      <w:pPr>
        <w:pStyle w:val="1270"/>
        <w:jc w:val="center"/>
        <w:spacing w:line="360" w:lineRule="auto"/>
        <w:rPr>
          <w:rFonts w:hint="eastAsia" w:ascii="宋体" w:hAnsi="宋体" w:cs="宋体"/>
          <w:b/>
          <w:bCs/>
          <w:sz w:val="48"/>
          <w:szCs w:val="48"/>
        </w:rPr>
      </w:pPr>
      <w:r>
        <w:rPr>
          <w:rFonts w:hint="eastAsia" w:ascii="宋体" w:hAnsi="宋体" w:cs="宋体"/>
          <w:b/>
          <w:bCs/>
          <w:sz w:val="48"/>
          <w:szCs w:val="48"/>
        </w:rPr>
        <w:t xml:space="preserve">政府采购合同  </w:t>
      </w:r>
      <w:r>
        <w:rPr>
          <w:rFonts w:hint="eastAsia" w:ascii="宋体" w:hAnsi="宋体" w:cs="宋体"/>
          <w:b/>
          <w:bCs/>
          <w:sz w:val="48"/>
          <w:szCs w:val="48"/>
        </w:rPr>
      </w:r>
      <w:r/>
    </w:p>
    <w:p>
      <w:pPr>
        <w:pStyle w:val="1270"/>
        <w:jc w:val="center"/>
        <w:spacing w:line="360" w:lineRule="auto"/>
        <w:rPr>
          <w:rFonts w:hint="eastAsia" w:ascii="宋体" w:hAnsi="宋体" w:cs="宋体"/>
          <w:b/>
          <w:bCs/>
          <w:sz w:val="48"/>
          <w:szCs w:val="48"/>
        </w:rPr>
      </w:pPr>
      <w:r>
        <w:rPr>
          <w:rFonts w:hint="eastAsia" w:ascii="宋体" w:hAnsi="宋体" w:cs="宋体"/>
          <w:b/>
          <w:bCs/>
          <w:sz w:val="48"/>
          <w:szCs w:val="48"/>
        </w:rPr>
        <w:t xml:space="preserve">（服务类）</w:t>
      </w:r>
      <w:r>
        <w:rPr>
          <w:rFonts w:hint="eastAsia" w:ascii="宋体" w:hAnsi="宋体" w:cs="宋体"/>
          <w:b/>
          <w:bCs/>
          <w:sz w:val="48"/>
          <w:szCs w:val="48"/>
        </w:rPr>
      </w:r>
      <w:r/>
    </w:p>
    <w:p>
      <w:pPr>
        <w:pStyle w:val="1553"/>
        <w:ind w:firstLine="0"/>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553"/>
        <w:ind w:firstLine="0"/>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553"/>
        <w:ind w:firstLine="0"/>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553"/>
        <w:ind w:firstLine="0"/>
        <w:jc w:val="center"/>
        <w:spacing w:line="440" w:lineRule="exact"/>
        <w:rPr>
          <w:rFonts w:hint="eastAsia" w:hAnsi="宋体" w:cs="宋体"/>
          <w:b/>
          <w:bCs/>
          <w:sz w:val="24"/>
          <w:szCs w:val="24"/>
        </w:rPr>
      </w:pPr>
      <w:r>
        <w:rPr>
          <w:rFonts w:hint="eastAsia" w:hAnsi="宋体" w:cs="宋体"/>
          <w:b/>
          <w:bCs/>
          <w:szCs w:val="28"/>
        </w:rPr>
        <w:t xml:space="preserve">第一部分 合同书</w:t>
      </w:r>
      <w:r>
        <w:rPr>
          <w:rFonts w:hint="eastAsia" w:hAnsi="宋体" w:cs="宋体"/>
          <w:b/>
          <w:bCs/>
          <w:sz w:val="24"/>
          <w:szCs w:val="24"/>
        </w:rPr>
      </w:r>
      <w:r/>
    </w:p>
    <w:p>
      <w:pPr>
        <w:pStyle w:val="1553"/>
        <w:ind w:firstLine="0"/>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553"/>
        <w:ind w:firstLine="0"/>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553"/>
        <w:ind w:firstLine="0"/>
        <w:spacing w:line="440" w:lineRule="exact"/>
        <w:rPr>
          <w:rFonts w:hint="eastAsia" w:hAnsi="宋体" w:cs="宋体"/>
          <w:sz w:val="24"/>
          <w:szCs w:val="24"/>
        </w:rPr>
      </w:pPr>
      <w:r>
        <w:rPr>
          <w:rFonts w:hint="eastAsia" w:hAnsi="宋体" w:cs="宋体"/>
          <w:sz w:val="24"/>
          <w:szCs w:val="24"/>
        </w:rPr>
      </w:r>
      <w:r/>
    </w:p>
    <w:p>
      <w:pPr>
        <w:pStyle w:val="1553"/>
        <w:ind w:firstLine="0"/>
        <w:spacing w:line="440" w:lineRule="exact"/>
        <w:rPr>
          <w:rFonts w:hint="eastAsia" w:hAnsi="宋体" w:cs="宋体"/>
          <w:sz w:val="24"/>
          <w:szCs w:val="24"/>
        </w:rPr>
      </w:pPr>
      <w:r>
        <w:rPr>
          <w:rFonts w:hint="eastAsia" w:hAnsi="宋体" w:cs="宋体"/>
          <w:sz w:val="24"/>
          <w:szCs w:val="24"/>
        </w:rPr>
      </w:r>
      <w:r/>
    </w:p>
    <w:p>
      <w:pPr>
        <w:pStyle w:val="1270"/>
        <w:spacing w:line="44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1270"/>
        <w:ind w:left="960"/>
        <w:spacing w:line="44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溧阳市自动监测监控系统运行维护项目</w:t>
      </w:r>
      <w:r>
        <w:rPr>
          <w:rFonts w:hint="eastAsia" w:ascii="宋体" w:hAnsi="宋体" w:cs="宋体"/>
          <w:sz w:val="28"/>
          <w:szCs w:val="28"/>
        </w:rPr>
      </w:r>
      <w:r/>
    </w:p>
    <w:p>
      <w:pPr>
        <w:pStyle w:val="1713"/>
        <w:spacing w:line="440" w:lineRule="exac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r>
      <w:r/>
    </w:p>
    <w:p>
      <w:pPr>
        <w:pStyle w:val="1270"/>
        <w:ind w:left="960"/>
        <w:spacing w:line="440" w:lineRule="exact"/>
        <w:rPr>
          <w:rFonts w:hint="eastAsia"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常州市生态环境监控中心溧阳分中心</w:t>
      </w:r>
      <w:r>
        <w:rPr>
          <w:rFonts w:hint="eastAsia" w:ascii="宋体" w:hAnsi="宋体" w:cs="宋体"/>
          <w:sz w:val="28"/>
          <w:szCs w:val="28"/>
          <w:u w:val="single"/>
        </w:rPr>
      </w:r>
      <w:r/>
    </w:p>
    <w:p>
      <w:pPr>
        <w:pStyle w:val="1270"/>
        <w:spacing w:line="440" w:lineRule="exac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1270"/>
        <w:ind w:left="960"/>
        <w:spacing w:line="440" w:lineRule="exact"/>
        <w:rPr>
          <w:rFonts w:hint="eastAsia"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rPr>
          <w:rFonts w:hint="eastAsia" w:ascii="宋体" w:hAnsi="宋体" w:cs="宋体"/>
          <w:sz w:val="28"/>
          <w:szCs w:val="28"/>
          <w:u w:val="single"/>
        </w:rPr>
      </w:r>
      <w:r/>
    </w:p>
    <w:p>
      <w:pPr>
        <w:pStyle w:val="1270"/>
        <w:ind w:left="960"/>
        <w:spacing w:line="440" w:lineRule="exact"/>
        <w:rPr>
          <w:rFonts w:hint="eastAsia" w:ascii="宋体" w:hAnsi="宋体" w:cs="宋体"/>
          <w:sz w:val="28"/>
          <w:szCs w:val="28"/>
          <w:u w:val="single"/>
        </w:rPr>
      </w:pPr>
      <w:r>
        <w:rPr>
          <w:rFonts w:hint="eastAsia" w:ascii="宋体" w:hAnsi="宋体" w:cs="宋体"/>
          <w:sz w:val="28"/>
          <w:szCs w:val="28"/>
          <w:u w:val="single"/>
        </w:rPr>
      </w:r>
      <w:r/>
    </w:p>
    <w:p>
      <w:pPr>
        <w:pStyle w:val="1270"/>
        <w:ind w:left="960"/>
        <w:spacing w:line="440" w:lineRule="exact"/>
        <w:rPr>
          <w:rFonts w:hint="eastAsia" w:ascii="宋体" w:hAnsi="宋体" w:cs="宋体"/>
          <w:sz w:val="28"/>
          <w:szCs w:val="28"/>
          <w:u w:val="single"/>
        </w:rPr>
      </w:pPr>
      <w:r>
        <w:rPr>
          <w:rFonts w:hint="eastAsia" w:ascii="宋体" w:hAnsi="宋体" w:cs="宋体"/>
          <w:sz w:val="28"/>
          <w:szCs w:val="28"/>
        </w:rPr>
        <w:t xml:space="preserve">签订地：</w:t>
      </w:r>
      <w:r>
        <w:rPr>
          <w:rFonts w:hint="eastAsia" w:ascii="宋体" w:hAnsi="宋体" w:cs="宋体"/>
          <w:sz w:val="28"/>
          <w:szCs w:val="28"/>
          <w:u w:val="single"/>
        </w:rPr>
        <w:t xml:space="preserve">溧阳市</w:t>
      </w:r>
      <w:r>
        <w:rPr>
          <w:rFonts w:hint="eastAsia" w:ascii="宋体" w:hAnsi="宋体" w:cs="宋体"/>
          <w:sz w:val="28"/>
          <w:szCs w:val="28"/>
          <w:u w:val="single"/>
        </w:rPr>
      </w:r>
      <w:r/>
    </w:p>
    <w:p>
      <w:pPr>
        <w:pStyle w:val="1270"/>
        <w:ind w:left="960"/>
        <w:spacing w:line="440" w:lineRule="exact"/>
        <w:rPr>
          <w:rFonts w:hint="eastAsia" w:ascii="宋体" w:hAnsi="宋体" w:cs="宋体"/>
          <w:sz w:val="28"/>
          <w:szCs w:val="28"/>
          <w:u w:val="single"/>
        </w:rPr>
      </w:pPr>
      <w:r>
        <w:rPr>
          <w:rFonts w:hint="eastAsia" w:ascii="宋体" w:hAnsi="宋体" w:cs="宋体"/>
          <w:sz w:val="28"/>
          <w:szCs w:val="28"/>
          <w:u w:val="single"/>
        </w:rPr>
      </w:r>
      <w:r/>
    </w:p>
    <w:p>
      <w:pPr>
        <w:pStyle w:val="1270"/>
        <w:ind w:left="960"/>
        <w:spacing w:line="440" w:lineRule="exact"/>
        <w:rPr>
          <w:rFonts w:hint="eastAsia" w:ascii="宋体" w:hAnsi="宋体" w:cs="宋体"/>
          <w:sz w:val="24"/>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2026</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rPr>
          <w:rFonts w:hint="eastAsia" w:ascii="宋体" w:hAnsi="宋体" w:cs="宋体"/>
          <w:sz w:val="24"/>
          <w:u w:val="single"/>
        </w:rPr>
      </w:r>
      <w:r/>
    </w:p>
    <w:p>
      <w:pPr>
        <w:pStyle w:val="1270"/>
        <w:jc w:val="left"/>
        <w:spacing w:line="440" w:lineRule="exact"/>
        <w:widowControl/>
        <w:rPr>
          <w:rFonts w:hint="eastAsia" w:ascii="宋体" w:hAnsi="宋体" w:cs="宋体"/>
          <w:sz w:val="24"/>
          <w:u w:val="single"/>
        </w:rPr>
        <w:sectPr>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sz w:val="24"/>
          <w:u w:val="single"/>
        </w:rPr>
      </w:r>
      <w:r/>
    </w:p>
    <w:p>
      <w:pPr>
        <w:pStyle w:val="1270"/>
        <w:ind w:firstLine="48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u w:val="single"/>
        </w:rPr>
        <w:t xml:space="preserve">   （采购人名称）   </w:t>
      </w:r>
      <w:r>
        <w:rPr>
          <w:rFonts w:hint="eastAsia" w:ascii="宋体" w:hAnsi="宋体" w:cs="宋体"/>
          <w:sz w:val="24"/>
        </w:rPr>
        <w:t xml:space="preserve">以</w:t>
      </w:r>
      <w:r>
        <w:rPr>
          <w:rFonts w:hint="eastAsia" w:ascii="宋体" w:hAnsi="宋体" w:cs="宋体"/>
          <w:sz w:val="24"/>
          <w:u w:val="single"/>
        </w:rPr>
        <w:t xml:space="preserve">   （政府采购方式）  </w:t>
      </w:r>
      <w:r>
        <w:rPr>
          <w:rFonts w:hint="eastAsia" w:ascii="宋体" w:hAnsi="宋体" w:cs="宋体"/>
          <w:sz w:val="24"/>
        </w:rPr>
        <w:t xml:space="preserve">对</w:t>
      </w:r>
      <w:r>
        <w:rPr>
          <w:rFonts w:hint="eastAsia" w:ascii="宋体" w:hAnsi="宋体" w:cs="宋体"/>
          <w:sz w:val="24"/>
          <w:u w:val="single"/>
        </w:rPr>
        <w:t xml:space="preserve">   （同前页项目名称）   </w:t>
      </w:r>
      <w:r>
        <w:rPr>
          <w:rFonts w:hint="eastAsia" w:ascii="宋体" w:hAnsi="宋体" w:cs="宋体"/>
          <w:sz w:val="24"/>
        </w:rPr>
        <w:t xml:space="preserve">项目进行了采购。经</w:t>
      </w:r>
      <w:r>
        <w:rPr>
          <w:rFonts w:hint="eastAsia" w:ascii="宋体" w:hAnsi="宋体" w:cs="宋体"/>
          <w:sz w:val="24"/>
          <w:u w:val="single"/>
        </w:rPr>
        <w:t xml:space="preserve">   （相关评定主体名称）   </w:t>
      </w:r>
      <w:r>
        <w:rPr>
          <w:rFonts w:hint="eastAsia" w:ascii="宋体" w:hAnsi="宋体" w:cs="宋体"/>
          <w:sz w:val="24"/>
        </w:rPr>
        <w:t xml:space="preserve">评定，</w:t>
      </w:r>
      <w:r>
        <w:rPr>
          <w:rFonts w:hint="eastAsia" w:ascii="宋体" w:hAnsi="宋体" w:cs="宋体"/>
          <w:sz w:val="24"/>
          <w:u w:val="single"/>
        </w:rPr>
        <w:t xml:space="preserve">   （中标供应商名称） </w:t>
      </w:r>
      <w:r>
        <w:rPr>
          <w:rFonts w:hint="eastAsia" w:ascii="宋体" w:hAnsi="宋体" w:cs="宋体"/>
          <w:sz w:val="24"/>
        </w:rPr>
        <w:t xml:space="preserve">为该项目中标供应商。现于中标通知书发出之日起三十日内，按照采购文件确定的事项签订本合同。</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根据《中华人民共和国民法典》、《中华人民共和国政府采购法》等相关法律法规之规定，按照平等、自愿、公平和诚实信用的原则，经</w:t>
      </w:r>
      <w:r>
        <w:rPr>
          <w:rFonts w:hint="eastAsia" w:ascii="宋体" w:hAnsi="宋体" w:cs="宋体"/>
          <w:sz w:val="24"/>
          <w:u w:val="single"/>
        </w:rPr>
        <w:t xml:space="preserve">   （采购人名称）   </w:t>
      </w:r>
      <w:r>
        <w:rPr>
          <w:rFonts w:hint="eastAsia" w:ascii="宋体" w:hAnsi="宋体" w:cs="宋体"/>
          <w:sz w:val="24"/>
        </w:rPr>
        <w:t xml:space="preserve">(以下简称：甲方)和</w:t>
      </w:r>
      <w:r>
        <w:rPr>
          <w:rFonts w:hint="eastAsia" w:ascii="宋体" w:hAnsi="宋体" w:cs="宋体"/>
          <w:sz w:val="24"/>
          <w:u w:val="single"/>
        </w:rPr>
        <w:t xml:space="preserve">   （中标供应商名称）   </w:t>
      </w:r>
      <w:r>
        <w:rPr>
          <w:rFonts w:hint="eastAsia" w:ascii="宋体" w:hAnsi="宋体" w:cs="宋体"/>
          <w:sz w:val="24"/>
        </w:rPr>
        <w:t xml:space="preserve">(以下简称：乙方)协商一致，约定以下合同条款，以兹共同遵守、全面履行。</w:t>
      </w:r>
      <w:r>
        <w:rPr>
          <w:rFonts w:hint="eastAsia" w:ascii="宋体" w:hAnsi="宋体" w:cs="宋体"/>
          <w:sz w:val="24"/>
        </w:rPr>
      </w:r>
      <w:r/>
    </w:p>
    <w:p>
      <w:pPr>
        <w:pStyle w:val="1270"/>
        <w:ind w:firstLine="482"/>
        <w:spacing w:line="440" w:lineRule="exact"/>
        <w:rPr>
          <w:rFonts w:hint="eastAsia" w:ascii="宋体" w:hAnsi="宋体" w:cs="宋体"/>
          <w:sz w:val="24"/>
        </w:rPr>
        <w:outlineLvl w:val="0"/>
      </w:pPr>
      <w:r>
        <w:rPr>
          <w:rFonts w:hint="eastAsia" w:ascii="宋体" w:hAnsi="宋体" w:cs="宋体"/>
          <w:b/>
          <w:bCs/>
          <w:sz w:val="24"/>
        </w:rPr>
        <w:t xml:space="preserve">1.1 合同组成部分</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1.1.1 本合同及其补充合同、变更协议；</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1.1.2 中标通知书；</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1.1.3 投标文件（含澄清或者说明文件）；</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1.1.4 招标文件（含澄清或者修改文件）；</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1.1.5 其他相关采购文件。</w:t>
      </w:r>
      <w:r>
        <w:rPr>
          <w:rFonts w:hint="eastAsia" w:ascii="宋体" w:hAnsi="宋体" w:cs="宋体"/>
          <w:sz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1.2 标的</w:t>
      </w:r>
      <w:r>
        <w:rPr>
          <w:rFonts w:hint="eastAsia" w:ascii="宋体" w:hAnsi="宋体" w:cs="宋体"/>
          <w:b/>
          <w:bCs/>
          <w:sz w:val="24"/>
        </w:rPr>
      </w:r>
      <w:r/>
    </w:p>
    <w:p>
      <w:pPr>
        <w:pStyle w:val="1270"/>
        <w:ind w:firstLine="480"/>
        <w:spacing w:line="440" w:lineRule="exact"/>
        <w:rPr>
          <w:rFonts w:hint="eastAsia" w:ascii="宋体" w:hAnsi="宋体" w:cs="宋体"/>
          <w:sz w:val="24"/>
          <w:u w:val="single"/>
        </w:rPr>
      </w:pPr>
      <w:r>
        <w:rPr>
          <w:rFonts w:hint="eastAsia" w:ascii="宋体" w:hAnsi="宋体" w:cs="宋体"/>
          <w:sz w:val="24"/>
        </w:rPr>
        <w:t xml:space="preserve">1.2.1 标的名称：</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1270"/>
        <w:ind w:firstLine="480"/>
        <w:spacing w:line="440" w:lineRule="exact"/>
        <w:rPr>
          <w:rFonts w:hint="eastAsia" w:ascii="宋体" w:hAnsi="宋体" w:cs="宋体"/>
          <w:sz w:val="24"/>
          <w:u w:val="single"/>
        </w:rPr>
      </w:pPr>
      <w:r>
        <w:rPr>
          <w:rFonts w:hint="eastAsia" w:ascii="宋体" w:hAnsi="宋体" w:cs="宋体"/>
          <w:sz w:val="24"/>
        </w:rPr>
        <w:t xml:space="preserve">1.2.2 标的数量：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1270"/>
        <w:ind w:firstLine="480"/>
        <w:spacing w:line="440" w:lineRule="exact"/>
        <w:rPr>
          <w:rFonts w:hint="eastAsia" w:ascii="宋体" w:hAnsi="宋体" w:cs="宋体"/>
          <w:sz w:val="24"/>
        </w:rPr>
      </w:pPr>
      <w:r>
        <w:rPr>
          <w:rFonts w:hint="eastAsia" w:ascii="宋体" w:hAnsi="宋体" w:cs="宋体"/>
          <w:sz w:val="24"/>
        </w:rPr>
        <w:t xml:space="preserve">1.2.3 标的质量：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1.3 价款</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本合同总价为：￥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rPr>
          <w:rFonts w:hint="eastAsia" w:ascii="宋体" w:hAnsi="宋体" w:cs="宋体"/>
          <w:sz w:val="24"/>
        </w:rPr>
      </w:r>
      <w:r/>
    </w:p>
    <w:p>
      <w:pPr>
        <w:pStyle w:val="1270"/>
        <w:ind w:firstLine="480"/>
        <w:spacing w:line="440" w:lineRule="exact"/>
        <w:rPr>
          <w:rFonts w:hint="eastAsia" w:ascii="宋体" w:hAnsi="宋体" w:cs="宋体"/>
          <w:sz w:val="24"/>
          <w:u w:val="single"/>
        </w:rPr>
      </w:pPr>
      <w:r>
        <w:rPr>
          <w:rFonts w:hint="eastAsia" w:ascii="宋体" w:hAnsi="宋体" w:cs="宋体"/>
          <w:sz w:val="24"/>
        </w:rPr>
        <w:t xml:space="preserve">分项价格：</w:t>
      </w:r>
      <w:r>
        <w:rPr>
          <w:rFonts w:hint="eastAsia" w:ascii="宋体" w:hAnsi="宋体" w:cs="宋体"/>
          <w:sz w:val="24"/>
          <w:u w:val="singl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3"/>
        <w:gridCol w:w="6479"/>
        <w:gridCol w:w="2153"/>
      </w:tblGrid>
      <w:tr>
        <w:trPr>
          <w:trHeight w:val="369"/>
        </w:trPr>
        <w:tc>
          <w:tcPr>
            <w:tcW w:w="839" w:type="dxa"/>
            <w:vAlign w:val="center"/>
            <w:textDirection w:val="lrTb"/>
            <w:noWrap w:val="false"/>
          </w:tcPr>
          <w:p>
            <w:pPr>
              <w:pStyle w:val="1714"/>
              <w:jc w:val="center"/>
              <w:spacing w:line="440" w:lineRule="exact"/>
              <w:rPr>
                <w:rFonts w:hint="eastAsia" w:hAnsi="宋体" w:cs="宋体"/>
                <w:color w:val="000000"/>
                <w:sz w:val="24"/>
                <w:szCs w:val="24"/>
              </w:rPr>
            </w:pPr>
            <w:r>
              <w:rPr>
                <w:rFonts w:hint="eastAsia" w:hAnsi="宋体" w:cs="宋体"/>
                <w:color w:val="000000"/>
                <w:sz w:val="24"/>
                <w:szCs w:val="24"/>
              </w:rPr>
              <w:t xml:space="preserve">序号</w:t>
            </w:r>
            <w:r>
              <w:rPr>
                <w:rFonts w:hint="eastAsia" w:hAnsi="宋体" w:cs="宋体"/>
                <w:color w:val="000000"/>
                <w:sz w:val="24"/>
                <w:szCs w:val="24"/>
              </w:rPr>
            </w:r>
            <w:r/>
          </w:p>
        </w:tc>
        <w:tc>
          <w:tcPr>
            <w:tcW w:w="2377" w:type="dxa"/>
            <w:vAlign w:val="center"/>
            <w:textDirection w:val="lrTb"/>
            <w:noWrap w:val="false"/>
          </w:tcPr>
          <w:p>
            <w:pPr>
              <w:pStyle w:val="1714"/>
              <w:ind w:firstLine="200"/>
              <w:jc w:val="center"/>
              <w:spacing w:line="440" w:lineRule="exact"/>
              <w:rPr>
                <w:rFonts w:hint="eastAsia" w:hAnsi="宋体" w:cs="宋体"/>
                <w:color w:val="000000"/>
                <w:sz w:val="24"/>
                <w:szCs w:val="24"/>
              </w:rPr>
            </w:pPr>
            <w:r>
              <w:rPr>
                <w:rFonts w:hint="eastAsia" w:hAnsi="宋体" w:cs="宋体"/>
                <w:color w:val="000000"/>
                <w:sz w:val="24"/>
                <w:szCs w:val="24"/>
              </w:rPr>
              <w:t xml:space="preserve">分项名称</w:t>
            </w:r>
            <w:r>
              <w:rPr>
                <w:rFonts w:hint="eastAsia" w:hAnsi="宋体" w:cs="宋体"/>
                <w:color w:val="000000"/>
                <w:sz w:val="24"/>
                <w:szCs w:val="24"/>
              </w:rPr>
            </w:r>
            <w:r/>
          </w:p>
        </w:tc>
        <w:tc>
          <w:tcPr>
            <w:tcW w:w="1783" w:type="dxa"/>
            <w:vAlign w:val="center"/>
            <w:textDirection w:val="lrTb"/>
            <w:noWrap w:val="false"/>
          </w:tcPr>
          <w:p>
            <w:pPr>
              <w:pStyle w:val="1714"/>
              <w:jc w:val="center"/>
              <w:spacing w:line="440" w:lineRule="exact"/>
              <w:rPr>
                <w:rFonts w:hint="eastAsia" w:hAnsi="宋体" w:cs="宋体"/>
                <w:color w:val="000000"/>
                <w:sz w:val="24"/>
                <w:szCs w:val="24"/>
              </w:rPr>
            </w:pPr>
            <w:r>
              <w:rPr>
                <w:rFonts w:hint="eastAsia" w:hAnsi="宋体" w:cs="宋体"/>
                <w:color w:val="000000"/>
                <w:sz w:val="24"/>
                <w:szCs w:val="24"/>
              </w:rPr>
              <w:t xml:space="preserve">分项价格</w:t>
            </w:r>
            <w:r>
              <w:rPr>
                <w:rFonts w:hint="eastAsia" w:hAnsi="宋体" w:cs="宋体"/>
                <w:color w:val="000000"/>
                <w:sz w:val="24"/>
                <w:szCs w:val="24"/>
              </w:rPr>
            </w:r>
            <w:r/>
          </w:p>
        </w:tc>
      </w:tr>
      <w:tr>
        <w:trPr>
          <w:trHeight w:val="369"/>
        </w:trPr>
        <w:tc>
          <w:tcPr>
            <w:tcW w:w="839" w:type="dxa"/>
            <w:vAlign w:val="center"/>
            <w:textDirection w:val="lrTb"/>
            <w:noWrap w:val="false"/>
          </w:tcPr>
          <w:p>
            <w:pPr>
              <w:pStyle w:val="1714"/>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2377" w:type="dxa"/>
            <w:vAlign w:val="center"/>
            <w:textDirection w:val="lrTb"/>
            <w:noWrap w:val="false"/>
          </w:tcPr>
          <w:p>
            <w:pPr>
              <w:pStyle w:val="1714"/>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1783" w:type="dxa"/>
            <w:vAlign w:val="center"/>
            <w:textDirection w:val="lrTb"/>
            <w:noWrap w:val="false"/>
          </w:tcPr>
          <w:p>
            <w:pPr>
              <w:pStyle w:val="1714"/>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r>
      <w:tr>
        <w:trPr>
          <w:trHeight w:val="369"/>
        </w:trPr>
        <w:tc>
          <w:tcPr>
            <w:tcW w:w="839" w:type="dxa"/>
            <w:vAlign w:val="center"/>
            <w:textDirection w:val="lrTb"/>
            <w:noWrap w:val="false"/>
          </w:tcPr>
          <w:p>
            <w:pPr>
              <w:pStyle w:val="1714"/>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2377" w:type="dxa"/>
            <w:vAlign w:val="center"/>
            <w:textDirection w:val="lrTb"/>
            <w:noWrap w:val="false"/>
          </w:tcPr>
          <w:p>
            <w:pPr>
              <w:pStyle w:val="1714"/>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1783" w:type="dxa"/>
            <w:vAlign w:val="center"/>
            <w:textDirection w:val="lrTb"/>
            <w:noWrap w:val="false"/>
          </w:tcPr>
          <w:p>
            <w:pPr>
              <w:pStyle w:val="1714"/>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r>
      <w:tr>
        <w:trPr>
          <w:trHeight w:val="369"/>
        </w:trPr>
        <w:tc>
          <w:tcPr>
            <w:tcW w:w="839" w:type="dxa"/>
            <w:vAlign w:val="center"/>
            <w:textDirection w:val="lrTb"/>
            <w:noWrap w:val="false"/>
          </w:tcPr>
          <w:p>
            <w:pPr>
              <w:pStyle w:val="1714"/>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2377" w:type="dxa"/>
            <w:vAlign w:val="center"/>
            <w:textDirection w:val="lrTb"/>
            <w:noWrap w:val="false"/>
          </w:tcPr>
          <w:p>
            <w:pPr>
              <w:pStyle w:val="1714"/>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1783" w:type="dxa"/>
            <w:vAlign w:val="center"/>
            <w:textDirection w:val="lrTb"/>
            <w:noWrap w:val="false"/>
          </w:tcPr>
          <w:p>
            <w:pPr>
              <w:pStyle w:val="1714"/>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r>
      <w:tr>
        <w:trPr>
          <w:trHeight w:val="369"/>
        </w:trPr>
        <w:tc>
          <w:tcPr>
            <w:tcW w:w="839" w:type="dxa"/>
            <w:vAlign w:val="center"/>
            <w:textDirection w:val="lrTb"/>
            <w:noWrap w:val="false"/>
          </w:tcPr>
          <w:p>
            <w:pPr>
              <w:pStyle w:val="1714"/>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2377" w:type="dxa"/>
            <w:vAlign w:val="center"/>
            <w:textDirection w:val="lrTb"/>
            <w:noWrap w:val="false"/>
          </w:tcPr>
          <w:p>
            <w:pPr>
              <w:pStyle w:val="1714"/>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1783" w:type="dxa"/>
            <w:vAlign w:val="center"/>
            <w:textDirection w:val="lrTb"/>
            <w:noWrap w:val="false"/>
          </w:tcPr>
          <w:p>
            <w:pPr>
              <w:pStyle w:val="1714"/>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r>
      <w:tr>
        <w:trPr>
          <w:trHeight w:val="369"/>
        </w:trPr>
        <w:tc>
          <w:tcPr>
            <w:gridSpan w:val="2"/>
            <w:tcW w:w="7492" w:type="dxa"/>
            <w:vAlign w:val="center"/>
            <w:textDirection w:val="lrTb"/>
            <w:noWrap w:val="false"/>
          </w:tcPr>
          <w:p>
            <w:pPr>
              <w:pStyle w:val="1714"/>
              <w:ind w:firstLine="200"/>
              <w:jc w:val="center"/>
              <w:spacing w:line="440" w:lineRule="exact"/>
              <w:rPr>
                <w:rFonts w:hint="eastAsia" w:hAnsi="宋体" w:cs="宋体"/>
                <w:color w:val="000000"/>
                <w:sz w:val="24"/>
                <w:szCs w:val="24"/>
              </w:rPr>
            </w:pPr>
            <w:r>
              <w:rPr>
                <w:rFonts w:hint="eastAsia" w:hAnsi="宋体" w:cs="宋体"/>
                <w:color w:val="000000"/>
                <w:sz w:val="24"/>
                <w:szCs w:val="24"/>
              </w:rPr>
              <w:t xml:space="preserve">总价</w:t>
            </w:r>
            <w:r>
              <w:rPr>
                <w:rFonts w:hint="eastAsia" w:hAnsi="宋体" w:cs="宋体"/>
                <w:color w:val="000000"/>
                <w:sz w:val="24"/>
                <w:szCs w:val="24"/>
              </w:rPr>
            </w:r>
            <w:r/>
          </w:p>
        </w:tc>
        <w:tc>
          <w:tcPr>
            <w:tcW w:w="1783" w:type="dxa"/>
            <w:vAlign w:val="center"/>
            <w:textDirection w:val="lrTb"/>
            <w:noWrap w:val="false"/>
          </w:tcPr>
          <w:p>
            <w:pPr>
              <w:pStyle w:val="1714"/>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r>
    </w:tbl>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1.4 付款方式和发票开具方式</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1.4.1付款方式：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1.4.2 发票开具方式：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1.5 履行期限、地点和方式</w:t>
      </w:r>
      <w:r>
        <w:rPr>
          <w:rFonts w:hint="eastAsia" w:ascii="宋体" w:hAnsi="宋体" w:cs="宋体"/>
          <w:b/>
          <w:bCs/>
          <w:sz w:val="24"/>
        </w:rPr>
      </w:r>
      <w:r/>
    </w:p>
    <w:p>
      <w:pPr>
        <w:pStyle w:val="1270"/>
        <w:ind w:firstLine="480"/>
        <w:spacing w:line="440" w:lineRule="exact"/>
        <w:rPr>
          <w:rFonts w:hint="eastAsia" w:ascii="宋体" w:hAnsi="宋体" w:cs="宋体"/>
          <w:sz w:val="24"/>
          <w:u w:val="single"/>
        </w:rPr>
      </w:pPr>
      <w:r>
        <w:rPr>
          <w:rFonts w:hint="eastAsia" w:ascii="宋体" w:hAnsi="宋体" w:cs="宋体"/>
          <w:sz w:val="24"/>
        </w:rPr>
        <w:t xml:space="preserve">1.5.1 履行期限：</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1270"/>
        <w:ind w:firstLine="480"/>
        <w:spacing w:line="440" w:lineRule="exact"/>
        <w:rPr>
          <w:rFonts w:hint="eastAsia" w:ascii="宋体" w:hAnsi="宋体" w:cs="宋体"/>
          <w:sz w:val="24"/>
        </w:rPr>
      </w:pPr>
      <w:r>
        <w:rPr>
          <w:rFonts w:hint="eastAsia" w:ascii="宋体" w:hAnsi="宋体" w:cs="宋体"/>
          <w:sz w:val="24"/>
        </w:rPr>
        <w:t xml:space="preserve">1.5.2 履行地点：</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1.5.3 履行方式：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270"/>
        <w:ind w:firstLine="482"/>
        <w:spacing w:line="440" w:lineRule="exact"/>
        <w:rPr>
          <w:rFonts w:hint="eastAsia" w:ascii="宋体" w:hAnsi="宋体" w:cs="宋体"/>
          <w:sz w:val="24"/>
          <w:u w:val="single"/>
        </w:rPr>
        <w:outlineLvl w:val="0"/>
      </w:pPr>
      <w:r>
        <w:rPr>
          <w:rFonts w:hint="eastAsia" w:ascii="宋体" w:hAnsi="宋体" w:cs="宋体"/>
          <w:b/>
          <w:bCs/>
          <w:sz w:val="24"/>
        </w:rPr>
        <w:t xml:space="preserve">1.6 违约责任</w:t>
      </w:r>
      <w:r>
        <w:rPr>
          <w:rFonts w:hint="eastAsia" w:ascii="宋体" w:hAnsi="宋体" w:cs="宋体"/>
          <w:sz w:val="24"/>
          <w:u w:val="single"/>
        </w:rPr>
      </w:r>
      <w:r/>
    </w:p>
    <w:p>
      <w:pPr>
        <w:pStyle w:val="1270"/>
        <w:ind w:firstLine="480"/>
        <w:spacing w:line="440" w:lineRule="exact"/>
        <w:rPr>
          <w:rFonts w:hint="eastAsia" w:ascii="宋体" w:hAnsi="宋体" w:cs="宋体"/>
          <w:sz w:val="24"/>
        </w:rPr>
      </w:pPr>
      <w:r>
        <w:rPr>
          <w:rFonts w:hint="eastAsia" w:ascii="宋体" w:hAnsi="宋体" w:cs="宋体"/>
          <w:sz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%；迟延履行的违约金计算数额达到前述最高限额之日起，甲方有权在要求乙方支付违约金的同时，书面通知乙方解除本合同；</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1.6.6 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cs="宋体"/>
          <w:sz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1.7 合同争议的解决</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本合同履行过程中发生的任何争议，双方当事人均可通过和解或者调解解决；不愿和解、调解或者和解、调解不成的，可以选择下列第</w:t>
      </w:r>
      <w:r>
        <w:rPr>
          <w:rFonts w:hint="eastAsia" w:ascii="宋体" w:hAnsi="宋体" w:cs="宋体"/>
          <w:sz w:val="24"/>
          <w:u w:val="single"/>
        </w:rPr>
        <w:t xml:space="preserve">    </w:t>
      </w:r>
      <w:r>
        <w:rPr>
          <w:rFonts w:hint="eastAsia" w:ascii="宋体" w:hAnsi="宋体" w:cs="宋体"/>
          <w:sz w:val="24"/>
        </w:rPr>
        <w:t xml:space="preserve">种方式解决：</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1.7.1 将争议提交</w:t>
      </w:r>
      <w:r>
        <w:rPr>
          <w:rFonts w:hint="eastAsia" w:ascii="宋体" w:hAnsi="宋体" w:cs="宋体"/>
          <w:sz w:val="24"/>
          <w:u w:val="single"/>
        </w:rPr>
        <w:t xml:space="preserve">              </w:t>
      </w:r>
      <w:r>
        <w:rPr>
          <w:rFonts w:hint="eastAsia" w:ascii="宋体" w:hAnsi="宋体" w:cs="宋体"/>
          <w:sz w:val="24"/>
        </w:rPr>
        <w:t xml:space="preserve">仲裁委员会依申请仲裁时其现行有效的仲裁规则裁决；</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1.7.2 向</w:t>
      </w:r>
      <w:r>
        <w:rPr>
          <w:rFonts w:hint="eastAsia" w:ascii="宋体" w:hAnsi="宋体" w:cs="宋体"/>
          <w:sz w:val="24"/>
          <w:u w:val="single"/>
        </w:rPr>
        <w:t xml:space="preserve">   （被告住所地、合同履行地、合同签订地、原告住所地、标的物所在地等与争议有实际联系的地点中选出的人民法院名称）    </w:t>
      </w:r>
      <w:r>
        <w:rPr>
          <w:rFonts w:hint="eastAsia" w:ascii="宋体" w:hAnsi="宋体" w:cs="宋体"/>
          <w:sz w:val="24"/>
        </w:rPr>
        <w:t xml:space="preserve">人民法院起诉。</w:t>
      </w:r>
      <w:r>
        <w:rPr>
          <w:rFonts w:hint="eastAsia" w:ascii="宋体" w:hAnsi="宋体" w:cs="宋体"/>
          <w:sz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1.8 合同生效</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本合同自双方当事人盖章或者签字时生效。</w:t>
      </w:r>
      <w:r>
        <w:rPr>
          <w:rFonts w:hint="eastAsia" w:ascii="宋体" w:hAnsi="宋体" w:cs="宋体"/>
          <w:sz w:val="24"/>
        </w:rPr>
      </w:r>
      <w:r/>
    </w:p>
    <w:p>
      <w:pPr>
        <w:pStyle w:val="1270"/>
        <w:jc w:val="left"/>
        <w:spacing w:line="440" w:lineRule="exact"/>
        <w:rPr>
          <w:rFonts w:hint="eastAsia" w:ascii="宋体" w:hAnsi="宋体" w:cs="宋体"/>
          <w:sz w:val="24"/>
        </w:rPr>
      </w:pPr>
      <w:r>
        <w:rPr>
          <w:rFonts w:hint="eastAsia" w:ascii="宋体" w:hAnsi="宋体" w:cs="宋体"/>
          <w:b/>
          <w:bCs/>
          <w:sz w:val="24"/>
        </w:rPr>
        <w:t xml:space="preserve">甲方</w:t>
      </w:r>
      <w:r>
        <w:rPr>
          <w:rFonts w:hint="eastAsia" w:ascii="宋体" w:hAnsi="宋体" w:cs="宋体"/>
          <w:sz w:val="24"/>
        </w:rPr>
        <w:t xml:space="preserve">：                                  </w:t>
      </w: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t xml:space="preserve">单位名称（章）：                                       </w:t>
      </w: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t xml:space="preserve">单位地址：                                                      </w:t>
      </w: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t xml:space="preserve">法定代表人：                           </w:t>
      </w: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t xml:space="preserve">委托代理人：                                                        </w:t>
      </w: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t xml:space="preserve">电话：                                 </w:t>
      </w:r>
      <w:r>
        <w:rPr>
          <w:rFonts w:hint="eastAsia" w:ascii="宋体" w:hAnsi="宋体" w:cs="宋体"/>
          <w:sz w:val="24"/>
        </w:rPr>
      </w:r>
      <w:r/>
    </w:p>
    <w:p>
      <w:pPr>
        <w:pStyle w:val="1270"/>
        <w:jc w:val="left"/>
        <w:spacing w:line="440" w:lineRule="exact"/>
        <w:rPr>
          <w:rFonts w:hint="eastAsia" w:ascii="宋体" w:hAnsi="宋体" w:cs="宋体"/>
          <w:b/>
          <w:bCs/>
          <w:sz w:val="24"/>
        </w:rPr>
      </w:pPr>
      <w:r>
        <w:rPr>
          <w:rFonts w:hint="eastAsia" w:ascii="宋体" w:hAnsi="宋体" w:cs="宋体"/>
          <w:b/>
          <w:bCs/>
          <w:sz w:val="24"/>
        </w:rPr>
      </w:r>
      <w:r/>
    </w:p>
    <w:p>
      <w:pPr>
        <w:pStyle w:val="1270"/>
        <w:jc w:val="left"/>
        <w:spacing w:line="440" w:lineRule="exact"/>
        <w:rPr>
          <w:rFonts w:hint="eastAsia" w:ascii="宋体" w:hAnsi="宋体" w:cs="宋体"/>
          <w:sz w:val="24"/>
        </w:rPr>
      </w:pPr>
      <w:r>
        <w:rPr>
          <w:rFonts w:hint="eastAsia" w:ascii="宋体" w:hAnsi="宋体" w:cs="宋体"/>
          <w:b/>
          <w:bCs/>
          <w:sz w:val="24"/>
        </w:rPr>
        <w:t xml:space="preserve">乙方</w:t>
      </w:r>
      <w:r>
        <w:rPr>
          <w:rFonts w:hint="eastAsia" w:ascii="宋体" w:hAnsi="宋体" w:cs="宋体"/>
          <w:sz w:val="24"/>
        </w:rPr>
        <w:t xml:space="preserve">：</w:t>
      </w: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t xml:space="preserve">单位名称（章）：              </w:t>
      </w: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t xml:space="preserve">单位地址：                        </w:t>
      </w: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t xml:space="preserve">委托代理人：                            </w:t>
      </w: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p>
      <w:pPr>
        <w:pStyle w:val="1270"/>
        <w:spacing w:line="440" w:lineRule="exact"/>
        <w:rPr>
          <w:rFonts w:hint="eastAsia" w:ascii="宋体" w:hAnsi="宋体" w:cs="宋体"/>
          <w:b/>
          <w:bCs/>
          <w:sz w:val="24"/>
        </w:rPr>
      </w:pPr>
      <w:r>
        <w:rPr>
          <w:rFonts w:hint="eastAsia" w:ascii="宋体" w:hAnsi="宋体" w:cs="宋体"/>
          <w:sz w:val="24"/>
        </w:rPr>
        <w:t xml:space="preserve">开户银行：        帐号：</w:t>
      </w:r>
      <w:r>
        <w:rPr>
          <w:rFonts w:hint="eastAsia" w:ascii="宋体" w:hAnsi="宋体" w:cs="宋体"/>
          <w:b/>
          <w:bCs/>
          <w:sz w:val="24"/>
        </w:rPr>
      </w:r>
      <w:r/>
    </w:p>
    <w:p>
      <w:pPr>
        <w:pStyle w:val="1270"/>
        <w:spacing w:line="440" w:lineRule="exact"/>
        <w:rPr>
          <w:rFonts w:hint="eastAsia" w:ascii="宋体" w:hAnsi="宋体" w:cs="宋体"/>
          <w:b/>
          <w:bCs/>
          <w:sz w:val="24"/>
        </w:rPr>
      </w:pPr>
      <w:r>
        <w:rPr>
          <w:rFonts w:hint="eastAsia" w:ascii="宋体" w:hAnsi="宋体" w:cs="宋体"/>
          <w:b/>
          <w:bCs/>
          <w:sz w:val="24"/>
        </w:rPr>
      </w:r>
      <w:r/>
    </w:p>
    <w:p>
      <w:pPr>
        <w:pStyle w:val="1553"/>
        <w:ind w:firstLine="200"/>
        <w:jc w:val="center"/>
        <w:spacing w:line="440" w:lineRule="exact"/>
        <w:rPr>
          <w:rFonts w:hint="eastAsia" w:hAnsi="宋体" w:cs="宋体"/>
          <w:b/>
          <w:bCs/>
          <w:sz w:val="24"/>
          <w:szCs w:val="24"/>
        </w:rPr>
      </w:pPr>
      <w:r>
        <w:rPr>
          <w:rFonts w:hint="eastAsia" w:hAnsi="宋体" w:cs="宋体"/>
          <w:b/>
          <w:bCs/>
          <w:sz w:val="24"/>
          <w:szCs w:val="24"/>
        </w:rPr>
        <w:t xml:space="preserve"> </w:t>
      </w:r>
      <w:r>
        <w:rPr>
          <w:rFonts w:hint="eastAsia" w:hAnsi="宋体" w:cs="宋体"/>
          <w:b/>
          <w:bCs/>
          <w:sz w:val="24"/>
          <w:szCs w:val="24"/>
        </w:rPr>
      </w:r>
      <w:r/>
    </w:p>
    <w:p>
      <w:pPr>
        <w:pStyle w:val="1553"/>
        <w:ind w:firstLine="200"/>
        <w:jc w:val="center"/>
        <w:spacing w:line="440" w:lineRule="exact"/>
        <w:rPr>
          <w:rFonts w:hint="eastAsia" w:hAnsi="宋体" w:cs="宋体"/>
          <w:b/>
          <w:bCs/>
          <w:sz w:val="24"/>
          <w:szCs w:val="24"/>
        </w:rPr>
      </w:pPr>
      <w:r>
        <w:rPr>
          <w:rFonts w:hint="eastAsia" w:hAnsi="宋体" w:cs="宋体"/>
          <w:b/>
          <w:bCs/>
          <w:sz w:val="24"/>
          <w:szCs w:val="24"/>
        </w:rPr>
        <w:br w:type="page" w:clear="all"/>
      </w:r>
      <w:r>
        <w:rPr>
          <w:rFonts w:hint="eastAsia" w:hAnsi="宋体" w:cs="宋体"/>
          <w:b/>
          <w:bCs/>
          <w:sz w:val="24"/>
          <w:szCs w:val="24"/>
        </w:rPr>
        <w:t xml:space="preserve">第二部分 合同一般条款</w:t>
      </w:r>
      <w:r>
        <w:rPr>
          <w:rFonts w:hint="eastAsia" w:hAnsi="宋体" w:cs="宋体"/>
          <w:b/>
          <w:bCs/>
          <w:sz w:val="24"/>
          <w:szCs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2.1 定义</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本合同中的下列词语应按以下内容进行解释：</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2.1.1 “合同”系指采购人和中标供应商签订的载明双方当事人所达成的协议，并包括所有的附件、附录和构成合同的其他文件。</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2.1.2 “合同价”系指根据合同约定，中标供应商在完全履行合同义务后，采购人应支付给中标供应商的价格。</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2.1.3 “服务”系指中标供应商根据合同约定应向采购人履行的除货物和工程以外的其他政府采购对象，包括采购人自身需要的服务和向社会公众提供的公共服务。</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2.1.4 “甲方”系指与中标供应商签署合同的采购人；采购人委托采购代理机构代表其与乙方签订合同的，采购人的授权委托书作为合同附件。</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2.1.6 “现场”系指合同约定提供服务的地点。</w:t>
      </w:r>
      <w:r>
        <w:rPr>
          <w:rFonts w:hint="eastAsia" w:ascii="宋体" w:hAnsi="宋体" w:cs="宋体"/>
          <w:sz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2.2 技术规范</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宋体" w:hAnsi="宋体" w:cs="宋体"/>
          <w:sz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2.3 知识产权</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2.3.2 合同涉及技术成果的归属和收益的分成办法的，详见</w:t>
      </w:r>
      <w:r>
        <w:rPr>
          <w:rFonts w:hint="eastAsia" w:ascii="宋体" w:hAnsi="宋体" w:cs="宋体"/>
          <w:b/>
          <w:bCs/>
          <w:i/>
          <w:iCs/>
          <w:sz w:val="24"/>
          <w:u w:val="single"/>
        </w:rPr>
        <w:t xml:space="preserve">合同专用条款</w:t>
      </w:r>
      <w:r>
        <w:rPr>
          <w:rFonts w:hint="eastAsia" w:ascii="宋体" w:hAnsi="宋体" w:cs="宋体"/>
          <w:sz w:val="24"/>
        </w:rPr>
        <w:t xml:space="preserve">。</w:t>
      </w:r>
      <w:r>
        <w:rPr>
          <w:rFonts w:hint="eastAsia" w:ascii="宋体" w:hAnsi="宋体" w:cs="宋体"/>
          <w:sz w:val="24"/>
        </w:rPr>
      </w:r>
      <w:r/>
    </w:p>
    <w:p>
      <w:pPr>
        <w:pStyle w:val="1270"/>
        <w:ind w:firstLine="482"/>
        <w:spacing w:line="440" w:lineRule="exact"/>
        <w:rPr>
          <w:rFonts w:hint="eastAsia" w:ascii="宋体" w:hAnsi="宋体" w:cs="宋体"/>
          <w:b/>
          <w:bCs/>
          <w:sz w:val="24"/>
        </w:rPr>
      </w:pPr>
      <w:r>
        <w:rPr>
          <w:rFonts w:hint="eastAsia" w:ascii="宋体" w:hAnsi="宋体" w:cs="宋体"/>
          <w:b/>
          <w:bCs/>
          <w:sz w:val="24"/>
        </w:rPr>
        <w:t xml:space="preserve">2.4 履约检查和问题反馈</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2.4.2 合同履行期间，甲方有权将履行过程中出现的问题反馈给乙方，双方当事人应以书面形式约定需要完善和改进的内容。</w:t>
      </w:r>
      <w:r>
        <w:rPr>
          <w:rFonts w:hint="eastAsia" w:ascii="宋体" w:hAnsi="宋体" w:cs="宋体"/>
          <w:sz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2.5 结算方式和付款条件</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详见</w:t>
      </w:r>
      <w:r>
        <w:rPr>
          <w:rFonts w:hint="eastAsia" w:ascii="宋体" w:hAnsi="宋体" w:cs="宋体"/>
          <w:b/>
          <w:bCs/>
          <w:i/>
          <w:iCs/>
          <w:sz w:val="24"/>
          <w:u w:val="single"/>
        </w:rPr>
        <w:t xml:space="preserve">合同专用条款</w:t>
      </w:r>
      <w:r>
        <w:rPr>
          <w:rFonts w:hint="eastAsia" w:ascii="宋体" w:hAnsi="宋体" w:cs="宋体"/>
          <w:sz w:val="24"/>
        </w:rPr>
        <w:t xml:space="preserve">。</w:t>
      </w:r>
      <w:r>
        <w:rPr>
          <w:rFonts w:hint="eastAsia" w:ascii="宋体" w:hAnsi="宋体" w:cs="宋体"/>
          <w:sz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2.6 技术资料和保密义务</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2.6.2 乙方有义务妥善保管和保护由甲方提供的前款信息和资料等；</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hint="eastAsia" w:ascii="宋体" w:hAnsi="宋体" w:cs="宋体"/>
          <w:sz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2.7 质量保证</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rPr>
          <w:rFonts w:hint="eastAsia" w:ascii="宋体" w:hAnsi="宋体" w:cs="宋体"/>
          <w:sz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2.8 延迟履行</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hint="eastAsia" w:ascii="宋体" w:hAnsi="宋体" w:cs="宋体"/>
          <w:sz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2.9 合同变更</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2.9.2 合同继续履行将损害国家利益和社会公共利益的，双方当事人应当以书面形式变更合同。有过错的一方应当承担赔偿责任，双方当事人都有过错的，各自承担相应的责任。</w:t>
      </w:r>
      <w:r>
        <w:rPr>
          <w:rFonts w:hint="eastAsia" w:ascii="宋体" w:hAnsi="宋体" w:cs="宋体"/>
          <w:sz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2.10 合同转让和分包</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sz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2.11 不可抗力</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2.11.1如果任何一方遭遇法律规定的不可抗力，致使合同履行受阻时，履行合同的期限应予延长，延长的期限应相当于不可抗力所影响的时间；</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2.11.2 因不可抗力致使不能实现合同目的的，当事人可以解除合同；</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2.11.3 因不可抗力致使合同有变更必要的，双方当事人应在</w:t>
      </w:r>
      <w:r>
        <w:rPr>
          <w:rFonts w:hint="eastAsia" w:ascii="宋体" w:hAnsi="宋体" w:cs="宋体"/>
          <w:b/>
          <w:bCs/>
          <w:i/>
          <w:iCs/>
          <w:sz w:val="24"/>
          <w:u w:val="single"/>
        </w:rPr>
        <w:t xml:space="preserve">合同专用条款</w:t>
      </w:r>
      <w:r>
        <w:rPr>
          <w:rFonts w:hint="eastAsia" w:ascii="宋体" w:hAnsi="宋体" w:cs="宋体"/>
          <w:sz w:val="24"/>
        </w:rPr>
        <w:t xml:space="preserve">约定时间内以书面形式变更合同；</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2.11.4受不可抗力影响的一方在不可抗力发生后，应在</w:t>
      </w:r>
      <w:r>
        <w:rPr>
          <w:rFonts w:hint="eastAsia" w:ascii="宋体" w:hAnsi="宋体" w:cs="宋体"/>
          <w:b/>
          <w:bCs/>
          <w:i/>
          <w:iCs/>
          <w:sz w:val="24"/>
          <w:u w:val="single"/>
        </w:rPr>
        <w:t xml:space="preserve">合同专用条款</w:t>
      </w:r>
      <w:r>
        <w:rPr>
          <w:rFonts w:hint="eastAsia" w:ascii="宋体" w:hAnsi="宋体" w:cs="宋体"/>
          <w:sz w:val="24"/>
        </w:rPr>
        <w:t xml:space="preserve">约定时间内以书面形式通知对方当事人，并在</w:t>
      </w:r>
      <w:r>
        <w:rPr>
          <w:rFonts w:hint="eastAsia" w:ascii="宋体" w:hAnsi="宋体" w:cs="宋体"/>
          <w:b/>
          <w:bCs/>
          <w:i/>
          <w:iCs/>
          <w:sz w:val="24"/>
          <w:u w:val="single"/>
        </w:rPr>
        <w:t xml:space="preserve">合同专用条款</w:t>
      </w:r>
      <w:r>
        <w:rPr>
          <w:rFonts w:hint="eastAsia" w:ascii="宋体" w:hAnsi="宋体" w:cs="宋体"/>
          <w:sz w:val="24"/>
        </w:rPr>
        <w:t xml:space="preserve">约定时间内，将有关部门出具的证明文件送达对方当事人。</w:t>
      </w:r>
      <w:r>
        <w:rPr>
          <w:rFonts w:hint="eastAsia" w:ascii="宋体" w:hAnsi="宋体" w:cs="宋体"/>
          <w:sz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2.12 税费</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与合同有关的一切税费，均按照中华人民共和国法律的相关规定缴纳。</w:t>
      </w:r>
      <w:r>
        <w:rPr>
          <w:rFonts w:hint="eastAsia" w:ascii="宋体" w:hAnsi="宋体" w:cs="宋体"/>
          <w:sz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2.13 乙方破产</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宋体" w:hAnsi="宋体" w:cs="宋体"/>
          <w:sz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2.14 合同中止、终止</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2.14.1 双方当事人不得擅自中止或者终止合同；</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2.14.2合同继续履行将损害国家利益和社会公共利益的，双方当事人应当中止或者终止合同。有过错的一方应当承担赔偿责任，双方当事人都有过错的，各自承担相应的责任。</w:t>
      </w:r>
      <w:r>
        <w:rPr>
          <w:rFonts w:hint="eastAsia" w:ascii="宋体" w:hAnsi="宋体" w:cs="宋体"/>
          <w:sz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2.15 检验和验收</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2.15.1 乙方按照</w:t>
      </w:r>
      <w:r>
        <w:rPr>
          <w:rFonts w:hint="eastAsia" w:ascii="宋体" w:hAnsi="宋体" w:cs="宋体"/>
          <w:b/>
          <w:bCs/>
          <w:i/>
          <w:iCs/>
          <w:sz w:val="24"/>
          <w:u w:val="single"/>
        </w:rPr>
        <w:t xml:space="preserve">合同专用条款</w:t>
      </w:r>
      <w:r>
        <w:rPr>
          <w:rFonts w:hint="eastAsia" w:ascii="宋体" w:hAnsi="宋体" w:cs="宋体"/>
          <w:sz w:val="24"/>
        </w:rPr>
        <w:t xml:space="preserve">的约定，定期提交服务报告，甲方按照</w:t>
      </w:r>
      <w:r>
        <w:rPr>
          <w:rFonts w:hint="eastAsia" w:ascii="宋体" w:hAnsi="宋体" w:cs="宋体"/>
          <w:b/>
          <w:bCs/>
          <w:i/>
          <w:iCs/>
          <w:sz w:val="24"/>
          <w:u w:val="single"/>
        </w:rPr>
        <w:t xml:space="preserve">合同专用条款</w:t>
      </w:r>
      <w:r>
        <w:rPr>
          <w:rFonts w:hint="eastAsia" w:ascii="宋体" w:hAnsi="宋体" w:cs="宋体"/>
          <w:sz w:val="24"/>
        </w:rPr>
        <w:t xml:space="preserve">的约定进行定期验收；</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2.15.3 检验和验收标准、程序等具体内容以及前述验收书的效力详见</w:t>
      </w:r>
      <w:r>
        <w:rPr>
          <w:rFonts w:hint="eastAsia" w:ascii="宋体" w:hAnsi="宋体" w:cs="宋体"/>
          <w:b/>
          <w:bCs/>
          <w:i/>
          <w:iCs/>
          <w:sz w:val="24"/>
          <w:u w:val="single"/>
        </w:rPr>
        <w:t xml:space="preserve">合同专用条款</w:t>
      </w:r>
      <w:r>
        <w:rPr>
          <w:rFonts w:hint="eastAsia" w:ascii="宋体" w:hAnsi="宋体" w:cs="宋体"/>
          <w:i/>
          <w:iCs/>
          <w:sz w:val="24"/>
        </w:rPr>
        <w:t xml:space="preserve">。</w:t>
      </w:r>
      <w:r>
        <w:rPr>
          <w:rFonts w:hint="eastAsia" w:ascii="宋体" w:hAnsi="宋体" w:cs="宋体"/>
          <w:sz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2.16 通知和送达</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2.16.1 任何一方因履行合同而以合同第一部分尾部所列明的</w:t>
      </w:r>
      <w:r>
        <w:rPr>
          <w:rFonts w:hint="eastAsia" w:ascii="宋体" w:hAnsi="宋体" w:cs="宋体"/>
          <w:sz w:val="24"/>
          <w:u w:val="single"/>
        </w:rPr>
        <w:t xml:space="preserve">          </w:t>
      </w:r>
      <w:r>
        <w:rPr>
          <w:rFonts w:hint="eastAsia" w:ascii="宋体" w:hAnsi="宋体" w:cs="宋体"/>
          <w:sz w:val="24"/>
        </w:rPr>
        <w:t xml:space="preserve">发出的所有通知、文件、材料，均视为已向对方当事人送达；任何一方变更上述送达方式或者地址的，应于</w:t>
      </w:r>
      <w:r>
        <w:rPr>
          <w:rFonts w:hint="eastAsia" w:ascii="宋体" w:hAnsi="宋体" w:cs="宋体"/>
          <w:sz w:val="24"/>
          <w:u w:val="single"/>
        </w:rPr>
        <w:t xml:space="preserve">   </w:t>
      </w:r>
      <w:r>
        <w:rPr>
          <w:rFonts w:hint="eastAsia" w:ascii="宋体" w:hAnsi="宋体" w:cs="宋体"/>
          <w:sz w:val="24"/>
        </w:rPr>
        <w:t xml:space="preserve">个工作日内书面通知对方当事人，在对方当事人收到有关变更通知之前，变更前的约定送达方式或者地址仍视为有效。</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r>
        <w:rPr>
          <w:rFonts w:hint="eastAsia" w:ascii="宋体" w:hAnsi="宋体" w:cs="宋体"/>
          <w:sz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2.17 合同使用的文字和适用的法律</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2.17.1 合同使用汉语书就、变更和解释；</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2.17.2 合同适用中华人民共和国法律。</w:t>
      </w:r>
      <w:r>
        <w:rPr>
          <w:rFonts w:hint="eastAsia" w:ascii="宋体" w:hAnsi="宋体" w:cs="宋体"/>
          <w:sz w:val="24"/>
        </w:rPr>
      </w:r>
      <w:r/>
    </w:p>
    <w:p>
      <w:pPr>
        <w:pStyle w:val="1270"/>
        <w:ind w:firstLine="482"/>
        <w:spacing w:line="440" w:lineRule="exact"/>
        <w:rPr>
          <w:rFonts w:hint="eastAsia" w:ascii="宋体" w:hAnsi="宋体" w:cs="宋体"/>
          <w:b/>
          <w:bCs/>
          <w:sz w:val="24"/>
        </w:rPr>
        <w:outlineLvl w:val="0"/>
      </w:pPr>
      <w:r>
        <w:rPr>
          <w:rFonts w:hint="eastAsia" w:ascii="宋体" w:hAnsi="宋体" w:cs="宋体"/>
          <w:b/>
          <w:bCs/>
          <w:sz w:val="24"/>
        </w:rPr>
        <w:t xml:space="preserve">2.18 履约保证金</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2.18.1 采购文件要求乙方提交履约保证金的，乙方应按</w:t>
      </w:r>
      <w:r>
        <w:rPr>
          <w:rFonts w:hint="eastAsia" w:ascii="宋体" w:hAnsi="宋体" w:cs="宋体"/>
          <w:b/>
          <w:bCs/>
          <w:i/>
          <w:iCs/>
          <w:sz w:val="24"/>
          <w:u w:val="single"/>
        </w:rPr>
        <w:t xml:space="preserve">合同专用条款</w:t>
      </w:r>
      <w:r>
        <w:rPr>
          <w:rFonts w:hint="eastAsia" w:ascii="宋体" w:hAnsi="宋体" w:cs="宋体"/>
          <w:sz w:val="24"/>
        </w:rPr>
        <w:t xml:space="preserve">约定的方式，以支票、汇票、本票或者金融机构、担保机构出具的保函等非现金形式，提交不超过合同价10%的履约保证金；</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2.18.2 履约保证金在</w:t>
      </w:r>
      <w:r>
        <w:rPr>
          <w:rFonts w:hint="eastAsia" w:ascii="宋体" w:hAnsi="宋体" w:cs="宋体"/>
          <w:b/>
          <w:bCs/>
          <w:i/>
          <w:iCs/>
          <w:sz w:val="24"/>
          <w:u w:val="single"/>
        </w:rPr>
        <w:t xml:space="preserve">合同专用条款</w:t>
      </w:r>
      <w:r>
        <w:rPr>
          <w:rFonts w:hint="eastAsia" w:ascii="宋体" w:hAnsi="宋体" w:cs="宋体"/>
          <w:sz w:val="24"/>
        </w:rPr>
        <w:t xml:space="preserve">约定期间内不予退还或者应完全有效，前述约定期间届满之日起</w:t>
      </w:r>
      <w:r>
        <w:rPr>
          <w:rFonts w:hint="eastAsia" w:ascii="宋体" w:hAnsi="宋体" w:cs="宋体"/>
          <w:sz w:val="24"/>
          <w:u w:val="single"/>
        </w:rPr>
        <w:t xml:space="preserve">    </w:t>
      </w:r>
      <w:r>
        <w:rPr>
          <w:rFonts w:hint="eastAsia" w:ascii="宋体" w:hAnsi="宋体" w:cs="宋体"/>
          <w:sz w:val="24"/>
        </w:rPr>
        <w:t xml:space="preserve">个工作日内，甲方应将履约保证金退还乙方；</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宋体" w:hAnsi="宋体" w:cs="宋体"/>
          <w:sz w:val="24"/>
        </w:rPr>
      </w:r>
      <w:r/>
    </w:p>
    <w:p>
      <w:pPr>
        <w:pStyle w:val="1270"/>
        <w:ind w:firstLine="482"/>
        <w:spacing w:line="440" w:lineRule="exact"/>
        <w:rPr>
          <w:rFonts w:hint="eastAsia" w:ascii="宋体" w:hAnsi="宋体" w:cs="宋体"/>
          <w:b/>
          <w:bCs/>
          <w:sz w:val="24"/>
        </w:rPr>
      </w:pPr>
      <w:r>
        <w:rPr>
          <w:rFonts w:hint="eastAsia" w:ascii="宋体" w:hAnsi="宋体" w:cs="宋体"/>
          <w:b/>
          <w:bCs/>
          <w:sz w:val="24"/>
        </w:rPr>
        <w:t xml:space="preserve">2.19 合同份数</w:t>
      </w:r>
      <w:r>
        <w:rPr>
          <w:rFonts w:hint="eastAsia" w:ascii="宋体" w:hAnsi="宋体" w:cs="宋体"/>
          <w:b/>
          <w:bCs/>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合同份数按</w:t>
      </w:r>
      <w:r>
        <w:rPr>
          <w:rFonts w:hint="eastAsia" w:ascii="宋体" w:hAnsi="宋体" w:cs="宋体"/>
          <w:b/>
          <w:bCs/>
          <w:i/>
          <w:iCs/>
          <w:sz w:val="24"/>
          <w:u w:val="single"/>
        </w:rPr>
        <w:t xml:space="preserve">合同专用条款</w:t>
      </w:r>
      <w:r>
        <w:rPr>
          <w:rFonts w:hint="eastAsia" w:ascii="宋体" w:hAnsi="宋体" w:cs="宋体"/>
          <w:sz w:val="24"/>
        </w:rPr>
        <w:t xml:space="preserve">规定，每份均具有同等法律效力。</w:t>
      </w:r>
      <w:r>
        <w:rPr>
          <w:rFonts w:hint="eastAsia" w:ascii="宋体" w:hAnsi="宋体" w:cs="宋体"/>
          <w:sz w:val="24"/>
        </w:rPr>
      </w:r>
      <w:r/>
    </w:p>
    <w:p>
      <w:pPr>
        <w:pStyle w:val="1553"/>
        <w:ind w:firstLine="0"/>
        <w:jc w:val="center"/>
        <w:spacing w:line="440" w:lineRule="exact"/>
        <w:rPr>
          <w:rFonts w:hint="eastAsia" w:hAnsi="宋体" w:cs="宋体"/>
          <w:b/>
          <w:bCs/>
          <w:sz w:val="24"/>
          <w:szCs w:val="24"/>
        </w:rPr>
      </w:pPr>
      <w:r>
        <w:rPr>
          <w:rFonts w:hint="eastAsia" w:hAnsi="宋体" w:cs="宋体"/>
          <w:sz w:val="24"/>
          <w:szCs w:val="24"/>
        </w:rPr>
        <w:br w:type="page" w:clear="all"/>
      </w:r>
      <w:r>
        <w:rPr>
          <w:rFonts w:hint="eastAsia" w:hAnsi="宋体" w:cs="宋体"/>
          <w:b/>
          <w:bCs/>
          <w:sz w:val="24"/>
          <w:szCs w:val="24"/>
        </w:rPr>
        <w:t xml:space="preserve">第三部分  合同专用条款</w:t>
      </w:r>
      <w:r>
        <w:rPr>
          <w:rFonts w:hint="eastAsia" w:hAnsi="宋体" w:cs="宋体"/>
          <w:b/>
          <w:bCs/>
          <w:sz w:val="24"/>
          <w:szCs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rFonts w:hint="eastAsia" w:ascii="宋体" w:hAnsi="宋体" w:cs="宋体"/>
          <w:sz w:val="24"/>
        </w:rPr>
      </w:r>
      <w:r/>
    </w:p>
    <w:tbl>
      <w:tblPr>
        <w:tblW w:w="4999" w:type="pct"/>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00"/>
        <w:gridCol w:w="8587"/>
      </w:tblGrid>
      <w:tr>
        <w:trPr>
          <w:trHeight w:val="391"/>
        </w:trPr>
        <w:tc>
          <w:tcPr>
            <w:tcW w:w="474" w:type="dxa"/>
            <w:vAlign w:val="center"/>
            <w:textDirection w:val="lrTb"/>
            <w:noWrap w:val="false"/>
          </w:tcPr>
          <w:p>
            <w:pPr>
              <w:pStyle w:val="1270"/>
              <w:jc w:val="center"/>
              <w:spacing w:line="440" w:lineRule="exact"/>
              <w:rPr>
                <w:rFonts w:hint="eastAsia" w:ascii="宋体" w:hAnsi="宋体" w:cs="宋体"/>
                <w:b/>
                <w:bCs/>
                <w:sz w:val="24"/>
              </w:rPr>
            </w:pPr>
            <w:r>
              <w:rPr>
                <w:rFonts w:hint="eastAsia" w:ascii="宋体" w:hAnsi="宋体" w:cs="宋体"/>
                <w:b/>
                <w:bCs/>
                <w:sz w:val="24"/>
              </w:rPr>
              <w:t xml:space="preserve">条款号</w:t>
            </w:r>
            <w:r>
              <w:rPr>
                <w:rFonts w:hint="eastAsia" w:ascii="宋体" w:hAnsi="宋体" w:cs="宋体"/>
                <w:b/>
                <w:bCs/>
                <w:sz w:val="24"/>
              </w:rPr>
            </w:r>
            <w:r/>
          </w:p>
        </w:tc>
        <w:tc>
          <w:tcPr>
            <w:tcW w:w="4525" w:type="dxa"/>
            <w:vAlign w:val="center"/>
            <w:textDirection w:val="lrTb"/>
            <w:noWrap w:val="false"/>
          </w:tcPr>
          <w:p>
            <w:pPr>
              <w:pStyle w:val="1270"/>
              <w:jc w:val="center"/>
              <w:spacing w:line="440" w:lineRule="exact"/>
              <w:rPr>
                <w:rFonts w:hint="eastAsia" w:ascii="宋体" w:hAnsi="宋体" w:cs="宋体"/>
                <w:b/>
                <w:bCs/>
                <w:sz w:val="24"/>
              </w:rPr>
            </w:pPr>
            <w:r>
              <w:rPr>
                <w:rFonts w:hint="eastAsia" w:ascii="宋体" w:hAnsi="宋体" w:cs="宋体"/>
                <w:b/>
                <w:bCs/>
                <w:sz w:val="24"/>
              </w:rPr>
              <w:t xml:space="preserve">约定内容</w:t>
            </w:r>
            <w:r>
              <w:rPr>
                <w:rFonts w:hint="eastAsia" w:ascii="宋体" w:hAnsi="宋体" w:cs="宋体"/>
                <w:b/>
                <w:bCs/>
                <w:sz w:val="24"/>
              </w:rPr>
            </w:r>
            <w:r/>
          </w:p>
        </w:tc>
      </w:tr>
      <w:tr>
        <w:trPr>
          <w:trHeight w:val="88"/>
        </w:trPr>
        <w:tc>
          <w:tcPr>
            <w:tcW w:w="474"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r>
      <w:tr>
        <w:trPr>
          <w:trHeight w:val="352"/>
        </w:trPr>
        <w:tc>
          <w:tcPr>
            <w:tcW w:w="474"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r>
      <w:tr>
        <w:trPr>
          <w:trHeight w:val="352"/>
        </w:trPr>
        <w:tc>
          <w:tcPr>
            <w:tcW w:w="474"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r>
      <w:tr>
        <w:trPr>
          <w:trHeight w:val="352"/>
        </w:trPr>
        <w:tc>
          <w:tcPr>
            <w:tcW w:w="474"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r>
      <w:tr>
        <w:trPr>
          <w:trHeight w:val="65"/>
        </w:trPr>
        <w:tc>
          <w:tcPr>
            <w:tcW w:w="474"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70"/>
              <w:spacing w:line="440" w:lineRule="exact"/>
              <w:rPr>
                <w:rFonts w:hint="eastAsia" w:ascii="宋体" w:hAnsi="宋体" w:cs="宋体"/>
                <w:sz w:val="24"/>
                <w:u w:val="single"/>
              </w:rPr>
            </w:pPr>
            <w:r>
              <w:rPr>
                <w:rFonts w:hint="eastAsia" w:ascii="宋体" w:hAnsi="宋体" w:cs="宋体"/>
                <w:sz w:val="24"/>
                <w:u w:val="single"/>
              </w:rPr>
            </w:r>
            <w:r/>
          </w:p>
        </w:tc>
      </w:tr>
      <w:tr>
        <w:trPr>
          <w:trHeight w:val="65"/>
        </w:trPr>
        <w:tc>
          <w:tcPr>
            <w:tcW w:w="474"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r>
      <w:tr>
        <w:trPr>
          <w:trHeight w:val="352"/>
        </w:trPr>
        <w:tc>
          <w:tcPr>
            <w:tcW w:w="474"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70"/>
              <w:spacing w:line="440" w:lineRule="exact"/>
              <w:rPr>
                <w:rFonts w:hint="eastAsia" w:ascii="宋体" w:hAnsi="宋体" w:cs="宋体"/>
                <w:sz w:val="24"/>
                <w:u w:val="single"/>
              </w:rPr>
            </w:pPr>
            <w:r>
              <w:rPr>
                <w:rFonts w:hint="eastAsia" w:ascii="宋体" w:hAnsi="宋体" w:cs="宋体"/>
                <w:sz w:val="24"/>
                <w:u w:val="single"/>
              </w:rPr>
            </w:r>
            <w:r/>
          </w:p>
        </w:tc>
      </w:tr>
      <w:tr>
        <w:trPr>
          <w:trHeight w:val="65"/>
        </w:trPr>
        <w:tc>
          <w:tcPr>
            <w:tcW w:w="474"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r>
      <w:tr>
        <w:trPr>
          <w:trHeight w:val="65"/>
        </w:trPr>
        <w:tc>
          <w:tcPr>
            <w:tcW w:w="474"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r>
      <w:tr>
        <w:trPr>
          <w:trHeight w:val="65"/>
        </w:trPr>
        <w:tc>
          <w:tcPr>
            <w:tcW w:w="474"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r>
      <w:tr>
        <w:trPr>
          <w:trHeight w:val="65"/>
        </w:trPr>
        <w:tc>
          <w:tcPr>
            <w:tcW w:w="474"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r>
      <w:tr>
        <w:trPr>
          <w:trHeight w:val="65"/>
        </w:trPr>
        <w:tc>
          <w:tcPr>
            <w:tcW w:w="474"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70"/>
              <w:spacing w:line="440" w:lineRule="exact"/>
              <w:rPr>
                <w:rFonts w:hint="eastAsia" w:ascii="宋体" w:hAnsi="宋体" w:cs="宋体"/>
                <w:sz w:val="24"/>
              </w:rPr>
            </w:pPr>
            <w:r>
              <w:rPr>
                <w:rFonts w:hint="eastAsia" w:ascii="宋体" w:hAnsi="宋体" w:cs="宋体"/>
                <w:sz w:val="24"/>
              </w:rPr>
            </w:r>
            <w:r/>
          </w:p>
        </w:tc>
      </w:tr>
    </w:tbl>
    <w:p>
      <w:pPr>
        <w:pStyle w:val="1270"/>
        <w:ind w:firstLine="480"/>
        <w:spacing w:line="440" w:lineRule="exact"/>
        <w:rPr>
          <w:rFonts w:hint="eastAsia" w:ascii="宋体" w:hAnsi="宋体" w:cs="宋体"/>
          <w:sz w:val="24"/>
        </w:rPr>
      </w:pPr>
      <w:r>
        <w:rPr>
          <w:rFonts w:hint="eastAsia" w:ascii="宋体" w:hAnsi="宋体" w:cs="宋体"/>
          <w:sz w:val="24"/>
        </w:rPr>
      </w:r>
      <w:r/>
    </w:p>
    <w:p>
      <w:pPr>
        <w:pStyle w:val="1270"/>
        <w:jc w:val="center"/>
        <w:spacing w:line="440" w:lineRule="exact"/>
        <w:rPr>
          <w:rFonts w:hint="eastAsia" w:ascii="宋体" w:hAnsi="宋体" w:cs="宋体"/>
          <w:b/>
          <w:sz w:val="36"/>
          <w:szCs w:val="36"/>
        </w:rPr>
        <w:outlineLvl w:val="0"/>
      </w:pPr>
      <w:r>
        <w:rPr>
          <w:rFonts w:hint="eastAsia" w:ascii="宋体" w:hAnsi="宋体" w:cs="宋体"/>
          <w:b/>
          <w:sz w:val="36"/>
          <w:szCs w:val="36"/>
        </w:rPr>
        <w:br w:type="page" w:clear="all"/>
      </w:r>
      <w:r>
        <w:rPr>
          <w:rFonts w:hint="eastAsia" w:ascii="宋体" w:hAnsi="宋体" w:cs="宋体"/>
          <w:b/>
          <w:sz w:val="36"/>
          <w:szCs w:val="36"/>
        </w:rPr>
        <w:t xml:space="preserve">第六章   响应文件格式</w:t>
      </w:r>
      <w:bookmarkEnd w:id="686"/>
      <w:r>
        <w:rPr>
          <w:rFonts w:hint="eastAsia" w:ascii="宋体" w:hAnsi="宋体" w:cs="宋体"/>
          <w:b/>
          <w:sz w:val="36"/>
          <w:szCs w:val="36"/>
        </w:rPr>
      </w:r>
      <w:r/>
    </w:p>
    <w:p>
      <w:pPr>
        <w:pStyle w:val="1270"/>
        <w:jc w:val="left"/>
        <w:spacing w:line="440" w:lineRule="exact"/>
        <w:widowControl/>
        <w:rPr>
          <w:rFonts w:hint="eastAsia" w:ascii="宋体" w:hAnsi="宋体" w:cs="宋体"/>
          <w:b/>
          <w:sz w:val="24"/>
        </w:rPr>
      </w:pPr>
      <w:r>
        <w:rPr>
          <w:rFonts w:hint="eastAsia" w:ascii="宋体" w:hAnsi="宋体" w:cs="宋体"/>
          <w:b/>
          <w:sz w:val="24"/>
        </w:rPr>
      </w:r>
      <w:r/>
    </w:p>
    <w:p>
      <w:pPr>
        <w:pStyle w:val="1270"/>
        <w:jc w:val="left"/>
        <w:spacing w:line="440" w:lineRule="exact"/>
        <w:widowControl/>
        <w:rPr>
          <w:rFonts w:hint="eastAsia" w:ascii="宋体" w:hAnsi="宋体" w:cs="宋体"/>
          <w:b/>
          <w:sz w:val="24"/>
        </w:rPr>
      </w:pPr>
      <w:r>
        <w:rPr>
          <w:rFonts w:hint="eastAsia" w:ascii="宋体" w:hAnsi="宋体" w:cs="宋体"/>
          <w:b/>
          <w:sz w:val="24"/>
        </w:rPr>
      </w:r>
      <w:r/>
    </w:p>
    <w:p>
      <w:pPr>
        <w:pStyle w:val="1270"/>
        <w:ind w:left="142"/>
        <w:spacing w:line="440" w:lineRule="exact"/>
        <w:tabs>
          <w:tab w:val="left" w:pos="900" w:leader="none"/>
          <w:tab w:val="left" w:pos="1980" w:leader="none"/>
        </w:tabs>
        <w:rPr>
          <w:rFonts w:hint="eastAsia" w:ascii="宋体" w:hAnsi="宋体" w:cs="宋体"/>
          <w:b/>
          <w:sz w:val="24"/>
        </w:rPr>
      </w:pPr>
      <w:r>
        <w:rPr>
          <w:rFonts w:hint="eastAsia" w:ascii="宋体" w:hAnsi="宋体" w:cs="宋体"/>
          <w:b/>
          <w:sz w:val="24"/>
        </w:rPr>
        <w:t xml:space="preserve">供应商编制文件须知</w:t>
      </w:r>
      <w:r>
        <w:rPr>
          <w:rFonts w:hint="eastAsia" w:ascii="宋体" w:hAnsi="宋体" w:cs="宋体"/>
          <w:b/>
          <w:sz w:val="24"/>
        </w:rPr>
      </w:r>
      <w:r/>
    </w:p>
    <w:p>
      <w:pPr>
        <w:pStyle w:val="1270"/>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1、供应商按照本部分的顺序编制响应文件，编制中涉及格式资料的，应按照本部分提供的内容和格式（所有表格的格式可扩展）填写提交。</w:t>
      </w:r>
      <w:r>
        <w:rPr>
          <w:rFonts w:hint="eastAsia" w:ascii="宋体" w:hAnsi="宋体" w:cs="宋体"/>
          <w:sz w:val="24"/>
        </w:rPr>
      </w:r>
      <w:r/>
    </w:p>
    <w:p>
      <w:pPr>
        <w:pStyle w:val="1270"/>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270"/>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3、全部声明和问题的回答及所附材料必须是真实的、准确的和完整的。</w:t>
      </w:r>
      <w:r>
        <w:rPr>
          <w:rFonts w:hint="eastAsia" w:ascii="宋体" w:hAnsi="宋体" w:cs="宋体"/>
          <w:sz w:val="24"/>
        </w:rPr>
      </w:r>
      <w:r/>
    </w:p>
    <w:p>
      <w:pPr>
        <w:pStyle w:val="1270"/>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4、实行电子化不见面交易方式的，加盖公章、签名等均通过响应文件编制工具加盖电子公章、签字、签章或印鉴。</w:t>
      </w:r>
      <w:r>
        <w:rPr>
          <w:rFonts w:hint="eastAsia" w:ascii="宋体" w:hAnsi="宋体" w:cs="宋体"/>
          <w:sz w:val="24"/>
        </w:rPr>
      </w:r>
      <w:r/>
    </w:p>
    <w:p>
      <w:pPr>
        <w:pStyle w:val="1491"/>
        <w:tabs>
          <w:tab w:val="left" w:pos="567" w:leader="none"/>
        </w:tabs>
        <w:rPr>
          <w:rFonts w:hint="eastAsia"/>
        </w:rPr>
      </w:pPr>
      <w:r>
        <w:rPr>
          <w:rFonts w:hint="eastAsia"/>
        </w:rPr>
      </w:r>
      <w:r/>
    </w:p>
    <w:p>
      <w:pPr>
        <w:pStyle w:val="1270"/>
        <w:spacing w:line="440" w:lineRule="exact"/>
        <w:rPr>
          <w:rFonts w:hint="eastAsia" w:ascii="宋体" w:hAnsi="宋体" w:cs="宋体"/>
          <w:b/>
          <w:spacing w:val="20"/>
          <w:sz w:val="28"/>
          <w:szCs w:val="28"/>
        </w:rPr>
      </w:pPr>
      <w:r>
        <w:rPr>
          <w:rFonts w:hint="eastAsia" w:ascii="宋体" w:hAnsi="宋体" w:cs="宋体"/>
          <w:sz w:val="24"/>
        </w:rPr>
        <w:br w:type="page" w:clear="all"/>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rFonts w:hint="eastAsia" w:ascii="宋体" w:hAnsi="宋体" w:cs="宋体"/>
          <w:b/>
          <w:spacing w:val="20"/>
          <w:sz w:val="28"/>
          <w:szCs w:val="28"/>
        </w:rPr>
        <w:t xml:space="preserve">资格证明文件格式</w:t>
      </w:r>
      <w:r>
        <w:rPr>
          <w:rFonts w:hint="eastAsia" w:ascii="宋体" w:hAnsi="宋体" w:cs="宋体"/>
          <w:b/>
          <w:spacing w:val="20"/>
          <w:sz w:val="28"/>
          <w:szCs w:val="28"/>
        </w:rPr>
      </w:r>
      <w:r/>
    </w:p>
    <w:p>
      <w:pPr>
        <w:pStyle w:val="1270"/>
        <w:spacing w:line="440" w:lineRule="exact"/>
        <w:rPr>
          <w:rFonts w:hint="eastAsia" w:ascii="宋体" w:hAnsi="宋体" w:cs="宋体"/>
          <w:b/>
          <w:spacing w:val="20"/>
          <w:sz w:val="28"/>
          <w:szCs w:val="28"/>
        </w:rPr>
      </w:pPr>
      <w:r>
        <w:rPr>
          <w:rFonts w:hint="eastAsia" w:ascii="宋体" w:hAnsi="宋体" w:cs="宋体"/>
          <w:b/>
          <w:spacing w:val="20"/>
          <w:sz w:val="28"/>
          <w:szCs w:val="28"/>
        </w:rPr>
      </w:r>
      <w:r/>
    </w:p>
    <w:p>
      <w:pPr>
        <w:pStyle w:val="1270"/>
        <w:spacing w:line="440" w:lineRule="exact"/>
        <w:rPr>
          <w:rFonts w:hint="eastAsia" w:ascii="宋体" w:hAnsi="宋体" w:cs="宋体"/>
          <w:b/>
          <w:sz w:val="24"/>
        </w:rPr>
      </w:pPr>
      <w:r>
        <w:rPr>
          <w:rFonts w:hint="eastAsia" w:ascii="宋体" w:hAnsi="宋体" w:cs="宋体"/>
          <w:b/>
          <w:spacing w:val="20"/>
          <w:sz w:val="28"/>
          <w:szCs w:val="28"/>
        </w:rPr>
        <w:t xml:space="preserve">响应文件</w:t>
      </w:r>
      <w:r>
        <w:rPr>
          <w:rFonts w:hint="eastAsia" w:ascii="宋体" w:hAnsi="宋体" w:cs="宋体"/>
          <w:b/>
          <w:sz w:val="28"/>
          <w:szCs w:val="28"/>
        </w:rPr>
        <w:t xml:space="preserve">封面（非实质性格式）</w:t>
      </w:r>
      <w:r>
        <w:rPr>
          <w:rFonts w:hint="eastAsia" w:ascii="宋体" w:hAnsi="宋体" w:cs="宋体"/>
          <w:b/>
          <w:sz w:val="24"/>
        </w:rPr>
      </w:r>
      <w:r/>
    </w:p>
    <w:p>
      <w:pPr>
        <w:pStyle w:val="1270"/>
        <w:jc w:val="center"/>
        <w:spacing w:line="360" w:lineRule="auto"/>
        <w:rPr>
          <w:rFonts w:hint="eastAsia" w:ascii="宋体" w:hAnsi="宋体" w:cs="宋体"/>
          <w:szCs w:val="21"/>
        </w:rPr>
      </w:pPr>
      <w:r>
        <w:rPr>
          <w:rFonts w:hint="eastAsia" w:ascii="宋体" w:hAnsi="宋体" w:cs="宋体"/>
          <w:szCs w:val="21"/>
        </w:rPr>
      </w:r>
      <w:r/>
    </w:p>
    <w:p>
      <w:pPr>
        <w:pStyle w:val="1270"/>
        <w:jc w:val="center"/>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pStyle w:val="1270"/>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pStyle w:val="1270"/>
        <w:jc w:val="center"/>
        <w:spacing w:line="360" w:lineRule="auto"/>
        <w:rPr>
          <w:rFonts w:hint="eastAsia" w:ascii="宋体" w:hAnsi="宋体" w:cs="宋体"/>
          <w:b/>
          <w:spacing w:val="60"/>
          <w:sz w:val="84"/>
          <w:szCs w:val="84"/>
        </w:rPr>
      </w:pPr>
      <w:r>
        <w:rPr>
          <w:rFonts w:hint="eastAsia" w:ascii="宋体" w:hAnsi="宋体" w:cs="宋体"/>
          <w:b/>
          <w:spacing w:val="60"/>
          <w:sz w:val="84"/>
          <w:szCs w:val="84"/>
        </w:rPr>
        <w:t xml:space="preserve">响 应 文 件</w:t>
      </w:r>
      <w:r>
        <w:rPr>
          <w:rFonts w:hint="eastAsia" w:ascii="宋体" w:hAnsi="宋体" w:cs="宋体"/>
          <w:b/>
          <w:spacing w:val="60"/>
          <w:sz w:val="84"/>
          <w:szCs w:val="84"/>
        </w:rPr>
      </w:r>
      <w:r/>
    </w:p>
    <w:p>
      <w:pPr>
        <w:pStyle w:val="1270"/>
        <w:jc w:val="center"/>
        <w:spacing w:line="360" w:lineRule="auto"/>
        <w:rPr>
          <w:rFonts w:hint="eastAsia" w:ascii="宋体" w:hAnsi="宋体" w:cs="宋体"/>
          <w:b/>
          <w:spacing w:val="60"/>
          <w:sz w:val="52"/>
          <w:szCs w:val="52"/>
        </w:rPr>
      </w:pPr>
      <w:r>
        <w:rPr>
          <w:rFonts w:hint="eastAsia" w:ascii="宋体" w:hAnsi="宋体" w:cs="宋体"/>
          <w:b/>
          <w:spacing w:val="60"/>
          <w:sz w:val="52"/>
          <w:szCs w:val="52"/>
        </w:rPr>
      </w:r>
      <w:r/>
    </w:p>
    <w:p>
      <w:pPr>
        <w:pStyle w:val="1514"/>
        <w:rPr>
          <w:rFonts w:hint="eastAsia" w:ascii="宋体" w:hAnsi="宋体" w:cs="宋体"/>
          <w:b/>
          <w:spacing w:val="60"/>
          <w:sz w:val="52"/>
          <w:szCs w:val="52"/>
        </w:rPr>
      </w:pPr>
      <w:r>
        <w:rPr>
          <w:rFonts w:hint="eastAsia" w:ascii="宋体" w:hAnsi="宋体" w:cs="宋体"/>
          <w:b/>
          <w:spacing w:val="60"/>
          <w:sz w:val="52"/>
          <w:szCs w:val="52"/>
        </w:rPr>
      </w:r>
      <w:r/>
    </w:p>
    <w:p>
      <w:pPr>
        <w:pStyle w:val="1514"/>
        <w:rPr>
          <w:rFonts w:hint="eastAsia" w:ascii="宋体" w:hAnsi="宋体" w:cs="宋体"/>
          <w:b/>
          <w:spacing w:val="60"/>
          <w:sz w:val="52"/>
          <w:szCs w:val="52"/>
        </w:rPr>
      </w:pPr>
      <w:r>
        <w:rPr>
          <w:rFonts w:hint="eastAsia" w:ascii="宋体" w:hAnsi="宋体" w:cs="宋体"/>
          <w:b/>
          <w:spacing w:val="60"/>
          <w:sz w:val="52"/>
          <w:szCs w:val="52"/>
        </w:rPr>
      </w:r>
      <w:r/>
    </w:p>
    <w:p>
      <w:pPr>
        <w:pStyle w:val="1514"/>
        <w:rPr>
          <w:rFonts w:hint="eastAsia" w:ascii="宋体" w:hAnsi="宋体" w:cs="宋体"/>
          <w:b/>
          <w:spacing w:val="60"/>
          <w:sz w:val="52"/>
          <w:szCs w:val="52"/>
        </w:rPr>
      </w:pPr>
      <w:r>
        <w:rPr>
          <w:rFonts w:hint="eastAsia" w:ascii="宋体" w:hAnsi="宋体" w:cs="宋体"/>
          <w:b/>
          <w:spacing w:val="60"/>
          <w:sz w:val="52"/>
          <w:szCs w:val="52"/>
        </w:rPr>
      </w:r>
      <w:r/>
    </w:p>
    <w:p>
      <w:pPr>
        <w:pStyle w:val="1270"/>
        <w:ind w:firstLine="542"/>
        <w:spacing w:line="440" w:lineRule="exact"/>
        <w:rPr>
          <w:rFonts w:hint="eastAsia" w:ascii="宋体" w:hAnsi="宋体" w:cs="宋体"/>
          <w:b/>
          <w:spacing w:val="20"/>
          <w:sz w:val="32"/>
          <w:szCs w:val="32"/>
        </w:rPr>
      </w:pPr>
      <w:r>
        <w:rPr>
          <w:rFonts w:hint="eastAsia" w:ascii="宋体" w:hAnsi="宋体" w:cs="宋体"/>
          <w:b/>
          <w:spacing w:val="20"/>
          <w:sz w:val="32"/>
          <w:szCs w:val="32"/>
        </w:rPr>
      </w:r>
      <w:r/>
    </w:p>
    <w:p>
      <w:pPr>
        <w:pStyle w:val="1270"/>
        <w:ind w:firstLine="542"/>
        <w:spacing w:line="440" w:lineRule="exact"/>
        <w:rPr>
          <w:rFonts w:hint="eastAsia" w:ascii="宋体" w:hAnsi="宋体" w:cs="宋体"/>
          <w:b/>
          <w:spacing w:val="20"/>
          <w:sz w:val="32"/>
          <w:szCs w:val="32"/>
        </w:rPr>
      </w:pPr>
      <w:r>
        <w:rPr>
          <w:rFonts w:hint="eastAsia" w:ascii="宋体" w:hAnsi="宋体" w:cs="宋体"/>
          <w:b/>
          <w:spacing w:val="20"/>
          <w:sz w:val="32"/>
          <w:szCs w:val="32"/>
        </w:rPr>
      </w:r>
      <w:r/>
    </w:p>
    <w:p>
      <w:pPr>
        <w:pStyle w:val="1270"/>
        <w:ind w:firstLine="1084"/>
        <w:spacing w:line="440" w:lineRule="exact"/>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hint="eastAsia" w:ascii="宋体" w:hAnsi="宋体" w:cs="宋体"/>
          <w:b/>
          <w:sz w:val="36"/>
        </w:rPr>
      </w:r>
      <w:r/>
    </w:p>
    <w:p>
      <w:pPr>
        <w:pStyle w:val="1270"/>
        <w:ind w:firstLine="1084"/>
        <w:spacing w:line="440" w:lineRule="exact"/>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rPr>
          <w:rFonts w:hint="eastAsia" w:ascii="宋体" w:hAnsi="宋体" w:cs="宋体"/>
          <w:b/>
          <w:sz w:val="36"/>
          <w:u w:val="single"/>
        </w:rPr>
      </w:r>
      <w:r/>
    </w:p>
    <w:p>
      <w:pPr>
        <w:pStyle w:val="1270"/>
        <w:spacing w:line="440" w:lineRule="exact"/>
        <w:rPr>
          <w:rFonts w:hint="eastAsia" w:ascii="宋体" w:hAnsi="宋体" w:cs="宋体"/>
          <w:b/>
          <w:sz w:val="36"/>
          <w:u w:val="single"/>
        </w:rPr>
      </w:pPr>
      <w:r>
        <w:rPr>
          <w:rFonts w:hint="eastAsia" w:ascii="宋体" w:hAnsi="宋体" w:cs="宋体"/>
          <w:b/>
          <w:sz w:val="36"/>
        </w:rPr>
        <w:t xml:space="preserve">      供应商名称：</w:t>
      </w:r>
      <w:r>
        <w:rPr>
          <w:rFonts w:hint="eastAsia" w:ascii="宋体" w:hAnsi="宋体" w:cs="宋体"/>
          <w:b/>
          <w:sz w:val="36"/>
          <w:u w:val="single"/>
        </w:rPr>
        <w:t xml:space="preserve">               </w:t>
      </w:r>
      <w:r>
        <w:rPr>
          <w:rFonts w:hint="eastAsia" w:ascii="宋体" w:hAnsi="宋体" w:cs="宋体"/>
          <w:b/>
          <w:sz w:val="36"/>
          <w:u w:val="single"/>
        </w:rPr>
      </w:r>
      <w:r/>
    </w:p>
    <w:p>
      <w:pPr>
        <w:pStyle w:val="1270"/>
        <w:spacing w:line="440" w:lineRule="exact"/>
        <w:rPr>
          <w:rFonts w:hint="eastAsia" w:ascii="宋体" w:hAnsi="宋体" w:cs="宋体"/>
          <w:b/>
          <w:sz w:val="36"/>
        </w:rPr>
      </w:pPr>
      <w:r>
        <w:rPr>
          <w:rFonts w:hint="eastAsia" w:ascii="宋体" w:hAnsi="宋体" w:cs="宋体"/>
          <w:b/>
          <w:sz w:val="36"/>
        </w:rPr>
        <w:t xml:space="preserve">      日       期：</w:t>
      </w:r>
      <w:r>
        <w:rPr>
          <w:rFonts w:hint="eastAsia" w:ascii="宋体" w:hAnsi="宋体" w:cs="宋体"/>
          <w:b/>
          <w:sz w:val="36"/>
          <w:u w:val="single"/>
        </w:rPr>
        <w:t xml:space="preserve">               </w:t>
      </w:r>
      <w:r>
        <w:rPr>
          <w:rFonts w:hint="eastAsia" w:ascii="宋体" w:hAnsi="宋体" w:cs="宋体"/>
          <w:b/>
          <w:sz w:val="36"/>
        </w:rPr>
      </w:r>
      <w:r/>
    </w:p>
    <w:p>
      <w:pPr>
        <w:pStyle w:val="1270"/>
        <w:jc w:val="center"/>
        <w:spacing w:line="440" w:lineRule="exact"/>
        <w:rPr>
          <w:rFonts w:hint="eastAsia" w:ascii="宋体" w:hAnsi="宋体" w:cs="宋体"/>
          <w:b/>
          <w:sz w:val="32"/>
          <w:szCs w:val="32"/>
        </w:rPr>
      </w:pPr>
      <w:r>
        <w:rPr>
          <w:rFonts w:hint="eastAsia" w:ascii="宋体" w:hAnsi="宋体" w:cs="宋体"/>
          <w:b/>
          <w:sz w:val="32"/>
          <w:szCs w:val="32"/>
        </w:rPr>
      </w:r>
      <w:r/>
    </w:p>
    <w:p>
      <w:pPr>
        <w:pStyle w:val="1270"/>
        <w:jc w:val="center"/>
        <w:spacing w:line="440" w:lineRule="exact"/>
        <w:rPr>
          <w:rFonts w:hint="eastAsia" w:ascii="宋体" w:hAnsi="宋体" w:cs="宋体"/>
          <w:b/>
        </w:rPr>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rPr>
          <w:rFonts w:hint="eastAsia" w:ascii="宋体" w:hAnsi="宋体" w:cs="宋体"/>
          <w:b/>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t xml:space="preserve">1、</w:t>
      </w:r>
      <w:r>
        <w:rPr>
          <w:rFonts w:hint="eastAsia" w:ascii="宋体" w:hAnsi="宋体" w:cs="宋体"/>
          <w:sz w:val="24"/>
        </w:rPr>
        <w:t xml:space="preserve">满足《中华人民共和国政府采购法》第二十二条规定及法律法规的其他规定</w:t>
      </w:r>
      <w:r>
        <w:rPr>
          <w:rFonts w:hint="eastAsia" w:ascii="宋体" w:hAnsi="宋体" w:cs="宋体"/>
          <w:color w:val="000000"/>
          <w:sz w:val="24"/>
          <w:szCs w:val="20"/>
        </w:rPr>
      </w:r>
      <w:r/>
    </w:p>
    <w:p>
      <w:pPr>
        <w:pStyle w:val="1305"/>
        <w:spacing w:before="0" w:after="0" w:line="440" w:lineRule="exact"/>
        <w:rPr>
          <w:rFonts w:hint="eastAsia" w:hAnsi="宋体" w:cs="宋体"/>
          <w:b w:val="0"/>
          <w:bCs/>
          <w:color w:val="000000"/>
          <w:u w:val="none"/>
        </w:rPr>
      </w:pPr>
      <w:r>
        <w:rPr>
          <w:rFonts w:hint="eastAsia" w:hAnsi="宋体" w:cs="宋体"/>
          <w:b w:val="0"/>
          <w:color w:val="000000"/>
          <w:u w:val="none"/>
        </w:rPr>
        <w:t xml:space="preserve">1-1.供应商资格声明函（实质性格式）</w:t>
      </w:r>
      <w:r>
        <w:rPr>
          <w:rFonts w:hint="eastAsia" w:hAnsi="宋体" w:cs="宋体"/>
          <w:b w:val="0"/>
          <w:bCs/>
          <w:color w:val="000000"/>
          <w:u w:val="none"/>
        </w:rPr>
      </w:r>
      <w:r/>
    </w:p>
    <w:p>
      <w:pPr>
        <w:pStyle w:val="1270"/>
        <w:jc w:val="center"/>
        <w:spacing w:line="440" w:lineRule="exact"/>
        <w:widowControl/>
        <w:rPr>
          <w:rFonts w:hint="eastAsia" w:ascii="宋体" w:hAnsi="宋体" w:cs="宋体"/>
          <w:szCs w:val="21"/>
        </w:rPr>
      </w:pPr>
      <w:r>
        <w:rPr>
          <w:rFonts w:hint="eastAsia" w:ascii="宋体" w:hAnsi="宋体" w:cs="宋体"/>
          <w:b/>
          <w:color w:val="000000"/>
          <w:sz w:val="28"/>
          <w:szCs w:val="28"/>
        </w:rPr>
        <w:t xml:space="preserve">供应商资格声明函</w:t>
      </w:r>
      <w:r>
        <w:rPr>
          <w:rFonts w:hint="eastAsia" w:ascii="宋体" w:hAnsi="宋体" w:cs="宋体"/>
          <w:szCs w:val="21"/>
        </w:rPr>
      </w:r>
      <w:r/>
    </w:p>
    <w:p>
      <w:pPr>
        <w:pStyle w:val="1482"/>
        <w:ind w:firstLine="480"/>
        <w:spacing w:line="440" w:lineRule="exact"/>
        <w:rPr>
          <w:rFonts w:hint="eastAsia" w:hAnsi="宋体" w:cs="宋体"/>
        </w:rPr>
      </w:pPr>
      <w:r>
        <w:rPr>
          <w:rFonts w:hint="eastAsia" w:hAnsi="宋体" w:cs="宋体"/>
        </w:rPr>
      </w:r>
      <w:r/>
    </w:p>
    <w:p>
      <w:pPr>
        <w:pStyle w:val="1482"/>
        <w:ind w:firstLine="480"/>
        <w:spacing w:line="440" w:lineRule="exact"/>
        <w:rPr>
          <w:rFonts w:hint="eastAsia" w:hAnsi="宋体" w:cs="宋体"/>
        </w:rPr>
      </w:pPr>
      <w:r>
        <w:rPr>
          <w:rFonts w:hint="eastAsia" w:hAnsi="宋体" w:cs="宋体"/>
        </w:rPr>
        <w:t xml:space="preserve">致：常州市生态环境监控中心溧阳分中心、江苏龙城招投标有限公司</w:t>
      </w:r>
      <w:r>
        <w:rPr>
          <w:rFonts w:hint="eastAsia" w:hAnsi="宋体" w:cs="宋体"/>
        </w:rPr>
      </w:r>
      <w:r/>
    </w:p>
    <w:p>
      <w:pPr>
        <w:pStyle w:val="1482"/>
        <w:ind w:firstLine="480"/>
        <w:spacing w:line="440" w:lineRule="exact"/>
        <w:rPr>
          <w:rFonts w:hint="eastAsia" w:hAnsi="宋体" w:cs="宋体"/>
        </w:rPr>
      </w:pPr>
      <w:r>
        <w:rPr>
          <w:rFonts w:hint="eastAsia" w:hAnsi="宋体" w:cs="宋体"/>
        </w:rPr>
        <w:t xml:space="preserve">按照《中华人民共和国政府采购法》第二十二条和磋商文件的规定，我单位郑重声明如下：</w:t>
      </w:r>
      <w:r>
        <w:rPr>
          <w:rFonts w:hint="eastAsia" w:hAnsi="宋体" w:cs="宋体"/>
        </w:rPr>
      </w:r>
      <w:r/>
    </w:p>
    <w:p>
      <w:pPr>
        <w:pStyle w:val="1482"/>
        <w:ind w:firstLine="480"/>
        <w:spacing w:line="440" w:lineRule="exact"/>
        <w:rPr>
          <w:rFonts w:hint="eastAsia"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rPr>
          <w:rFonts w:hint="eastAsia" w:hAnsi="宋体" w:cs="宋体"/>
        </w:rPr>
      </w:r>
      <w:r/>
    </w:p>
    <w:p>
      <w:pPr>
        <w:pStyle w:val="1482"/>
        <w:ind w:firstLine="480"/>
        <w:spacing w:line="440" w:lineRule="exact"/>
        <w:rPr>
          <w:rFonts w:hint="eastAsia" w:hAnsi="宋体" w:cs="宋体"/>
        </w:rPr>
      </w:pPr>
      <w:r>
        <w:rPr>
          <w:rFonts w:hint="eastAsia" w:hAnsi="宋体" w:cs="宋体"/>
        </w:rPr>
        <w:t xml:space="preserve">二、我单位未被“国家企业信用信息系统”列入经营异常名录或者严重违法企业名单。</w:t>
      </w:r>
      <w:r>
        <w:rPr>
          <w:rFonts w:hint="eastAsia" w:hAnsi="宋体" w:cs="宋体"/>
        </w:rPr>
      </w:r>
      <w:r/>
    </w:p>
    <w:p>
      <w:pPr>
        <w:pStyle w:val="1482"/>
        <w:ind w:firstLine="480"/>
        <w:spacing w:line="440" w:lineRule="exact"/>
        <w:rPr>
          <w:rFonts w:hint="eastAsia" w:hAnsi="宋体" w:cs="宋体"/>
        </w:rPr>
      </w:pPr>
      <w:r>
        <w:rPr>
          <w:rFonts w:hint="eastAsia" w:hAnsi="宋体" w:cs="宋体"/>
        </w:rPr>
        <w:t xml:space="preserve">三、我单位具有良好的商业信誉（指供应商经营状况良好，无本资格声明第十条情形）和健全的财务会计制度。</w:t>
      </w:r>
      <w:r>
        <w:rPr>
          <w:rFonts w:hint="eastAsia" w:hAnsi="宋体" w:cs="宋体"/>
        </w:rPr>
      </w:r>
      <w:r/>
    </w:p>
    <w:p>
      <w:pPr>
        <w:pStyle w:val="1482"/>
        <w:ind w:firstLine="480"/>
        <w:spacing w:line="440" w:lineRule="exact"/>
        <w:rPr>
          <w:rFonts w:hint="eastAsia" w:hAnsi="宋体" w:cs="宋体"/>
        </w:rPr>
      </w:pPr>
      <w:r>
        <w:rPr>
          <w:rFonts w:hint="eastAsia" w:hAnsi="宋体" w:cs="宋体"/>
        </w:rPr>
        <w:t xml:space="preserve">四、我单位依法进行纳税和社会保险申报并实际履行了义务。</w:t>
      </w:r>
      <w:r>
        <w:rPr>
          <w:rFonts w:hint="eastAsia" w:hAnsi="宋体" w:cs="宋体"/>
        </w:rPr>
      </w:r>
      <w:r/>
    </w:p>
    <w:p>
      <w:pPr>
        <w:pStyle w:val="1482"/>
        <w:ind w:firstLine="480"/>
        <w:spacing w:line="440" w:lineRule="exact"/>
        <w:rPr>
          <w:rFonts w:hAnsi="宋体" w:cs="宋体"/>
        </w:rPr>
      </w:pPr>
      <w:r>
        <w:rPr>
          <w:rFonts w:hint="eastAsia" w:hAnsi="宋体" w:cs="宋体"/>
        </w:rPr>
        <w:t xml:space="preserve">五、我单位具有履行本项目采购合同所必需的设备和专业技术能力，并具有履行合同的良好记录。为履行本项采购合同我单位具备如下主要设备和主要专业技术能力:</w:t>
      </w:r>
      <w:r>
        <w:rPr>
          <w:rFonts w:hint="eastAsia" w:hAnsi="宋体" w:cs="宋体"/>
          <w:u w:val="single"/>
        </w:rPr>
        <w:t xml:space="preserve">       </w:t>
      </w:r>
      <w:r>
        <w:rPr>
          <w:rFonts w:hAnsi="宋体" w:cs="宋体"/>
        </w:rPr>
      </w:r>
      <w:r/>
    </w:p>
    <w:p>
      <w:pPr>
        <w:pStyle w:val="1482"/>
        <w:ind w:firstLine="480"/>
        <w:spacing w:line="440" w:lineRule="exact"/>
        <w:rPr>
          <w:rFonts w:hint="eastAsia" w:hAnsi="宋体" w:cs="宋体"/>
          <w:u w:val="single"/>
        </w:rPr>
      </w:pPr>
      <w:r>
        <w:rPr>
          <w:rFonts w:hint="eastAsia" w:hAnsi="宋体" w:cs="宋体"/>
        </w:rPr>
        <w:t xml:space="preserve">主要设备有：</w:t>
      </w:r>
      <w:r>
        <w:rPr>
          <w:rFonts w:hint="eastAsia" w:hAnsi="宋体" w:cs="宋体"/>
          <w:u w:val="single"/>
        </w:rPr>
        <w:t xml:space="preserve">             </w:t>
      </w:r>
      <w:r>
        <w:rPr>
          <w:rFonts w:hint="eastAsia" w:hAnsi="宋体" w:cs="宋体"/>
          <w:u w:val="single"/>
        </w:rPr>
      </w:r>
      <w:r/>
    </w:p>
    <w:p>
      <w:pPr>
        <w:pStyle w:val="1482"/>
        <w:ind w:firstLine="480"/>
        <w:spacing w:line="440" w:lineRule="exact"/>
        <w:rPr>
          <w:rFonts w:hAnsi="宋体" w:cs="宋体"/>
        </w:rPr>
      </w:pPr>
      <w:r>
        <w:rPr>
          <w:rFonts w:hint="eastAsia" w:hAnsi="宋体" w:cs="宋体"/>
        </w:rPr>
        <w:t xml:space="preserve">主要专业技术能力有：</w:t>
      </w:r>
      <w:r>
        <w:rPr>
          <w:rFonts w:hint="eastAsia" w:hAnsi="宋体" w:cs="宋体"/>
          <w:u w:val="single"/>
        </w:rPr>
        <w:t xml:space="preserve">             </w:t>
      </w:r>
      <w:r>
        <w:rPr>
          <w:rFonts w:hAnsi="宋体" w:cs="宋体"/>
        </w:rPr>
      </w:r>
      <w:r/>
    </w:p>
    <w:p>
      <w:pPr>
        <w:pStyle w:val="1482"/>
        <w:ind w:firstLine="480"/>
        <w:spacing w:line="440" w:lineRule="exact"/>
        <w:rPr>
          <w:rFonts w:hint="eastAsia" w:hAnsi="宋体" w:cs="宋体"/>
        </w:rPr>
      </w:pPr>
      <w:r>
        <w:rPr>
          <w:rFonts w:hint="eastAsia" w:hAnsi="宋体" w:cs="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hAnsi="宋体" w:cs="宋体"/>
        </w:rPr>
      </w:r>
      <w:r/>
    </w:p>
    <w:p>
      <w:pPr>
        <w:pStyle w:val="1482"/>
        <w:ind w:firstLine="480"/>
        <w:spacing w:line="440" w:lineRule="exact"/>
        <w:rPr>
          <w:rFonts w:hint="eastAsia" w:hAnsi="宋体" w:cs="宋体"/>
        </w:rPr>
      </w:pPr>
      <w:r>
        <w:rPr>
          <w:rFonts w:hint="eastAsia" w:hAnsi="宋体" w:cs="宋体"/>
        </w:rPr>
        <w:t xml:space="preserve">七、我单位具备法律、行政法规规定的其他条件。</w:t>
      </w:r>
      <w:r>
        <w:rPr>
          <w:rFonts w:hint="eastAsia" w:hAnsi="宋体" w:cs="宋体"/>
        </w:rPr>
      </w:r>
      <w:r/>
    </w:p>
    <w:p>
      <w:pPr>
        <w:pStyle w:val="1482"/>
        <w:ind w:firstLine="480"/>
        <w:spacing w:line="440" w:lineRule="exact"/>
        <w:rPr>
          <w:rFonts w:hint="eastAsia" w:hAnsi="宋体" w:cs="宋体"/>
        </w:rPr>
      </w:pPr>
      <w:r>
        <w:rPr>
          <w:rFonts w:hint="eastAsia" w:hAnsi="宋体" w:cs="宋体"/>
        </w:rPr>
        <w:t xml:space="preserve">八、与我单位存在“单位负责人为同一人或者存在直接控股、管理关系”的其他单位信息如下（如无此情形的，填写“无”）：</w:t>
      </w:r>
      <w:r>
        <w:rPr>
          <w:rFonts w:hint="eastAsia" w:hAnsi="宋体" w:cs="宋体"/>
        </w:rPr>
      </w:r>
      <w:r/>
    </w:p>
    <w:p>
      <w:pPr>
        <w:pStyle w:val="1482"/>
        <w:ind w:firstLine="480"/>
        <w:spacing w:line="440" w:lineRule="exact"/>
        <w:rPr>
          <w:rFonts w:hint="eastAsia"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rPr>
          <w:rFonts w:hint="eastAsia" w:hAnsi="宋体" w:cs="宋体"/>
        </w:rPr>
      </w:r>
      <w:r/>
    </w:p>
    <w:p>
      <w:pPr>
        <w:pStyle w:val="1482"/>
        <w:ind w:firstLine="480"/>
        <w:spacing w:line="440" w:lineRule="exact"/>
        <w:rPr>
          <w:rFonts w:hint="eastAsia"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rPr>
          <w:rFonts w:hint="eastAsia" w:hAnsi="宋体" w:cs="宋体"/>
        </w:rPr>
      </w:r>
      <w:r/>
    </w:p>
    <w:p>
      <w:pPr>
        <w:pStyle w:val="1482"/>
        <w:ind w:firstLine="480"/>
        <w:spacing w:line="440" w:lineRule="exact"/>
        <w:rPr>
          <w:rFonts w:hint="eastAsia"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rPr>
          <w:rFonts w:hint="eastAsia" w:hAnsi="宋体" w:cs="宋体"/>
        </w:rPr>
      </w:r>
      <w:r/>
    </w:p>
    <w:p>
      <w:pPr>
        <w:pStyle w:val="1482"/>
        <w:ind w:firstLine="480"/>
        <w:spacing w:line="440" w:lineRule="exact"/>
        <w:rPr>
          <w:rFonts w:hint="eastAsia" w:hAnsi="宋体" w:cs="宋体"/>
        </w:rPr>
      </w:pPr>
      <w:r>
        <w:rPr>
          <w:rFonts w:hint="eastAsia" w:hAnsi="宋体" w:cs="宋体"/>
        </w:rPr>
        <w:t xml:space="preserve">九、我单位无以下不良信用记录情形：</w:t>
      </w:r>
      <w:r>
        <w:rPr>
          <w:rFonts w:hint="eastAsia" w:hAnsi="宋体" w:cs="宋体"/>
        </w:rPr>
      </w:r>
      <w:r/>
    </w:p>
    <w:p>
      <w:pPr>
        <w:pStyle w:val="1482"/>
        <w:ind w:firstLine="480"/>
        <w:spacing w:line="440" w:lineRule="exact"/>
        <w:rPr>
          <w:rFonts w:hint="eastAsia" w:hAnsi="宋体" w:cs="宋体"/>
        </w:rPr>
      </w:pPr>
      <w:r>
        <w:rPr>
          <w:rFonts w:hint="eastAsia" w:hAnsi="宋体" w:cs="宋体"/>
        </w:rPr>
        <w:t xml:space="preserve">1、在“信用中国”网站被列入失信被执行人和重大税收违法案件当事人名单；</w:t>
      </w:r>
      <w:r>
        <w:rPr>
          <w:rFonts w:hint="eastAsia" w:hAnsi="宋体" w:cs="宋体"/>
        </w:rPr>
      </w:r>
      <w:r/>
    </w:p>
    <w:p>
      <w:pPr>
        <w:pStyle w:val="1482"/>
        <w:ind w:firstLine="480"/>
        <w:spacing w:line="440" w:lineRule="exact"/>
        <w:rPr>
          <w:rFonts w:hint="eastAsia" w:hAnsi="宋体" w:cs="宋体"/>
        </w:rPr>
      </w:pPr>
      <w:r>
        <w:rPr>
          <w:rFonts w:hint="eastAsia" w:hAnsi="宋体" w:cs="宋体"/>
        </w:rPr>
        <w:t xml:space="preserve">2、在“中国政府采购网”网站被列入政府采购严重违法失信行为记录名单；</w:t>
      </w:r>
      <w:r>
        <w:rPr>
          <w:rFonts w:hint="eastAsia" w:hAnsi="宋体" w:cs="宋体"/>
        </w:rPr>
      </w:r>
      <w:r/>
    </w:p>
    <w:p>
      <w:pPr>
        <w:pStyle w:val="1482"/>
        <w:ind w:firstLine="480"/>
        <w:spacing w:line="440" w:lineRule="exact"/>
        <w:rPr>
          <w:rFonts w:hint="eastAsia" w:hAnsi="宋体" w:cs="宋体"/>
        </w:rPr>
      </w:pPr>
      <w:r>
        <w:rPr>
          <w:rFonts w:hint="eastAsia" w:hAnsi="宋体" w:cs="宋体"/>
        </w:rPr>
        <w:t xml:space="preserve">3、不符合《政府采购法》第二十二条规定的条件。</w:t>
      </w:r>
      <w:r>
        <w:rPr>
          <w:rFonts w:hint="eastAsia" w:hAnsi="宋体" w:cs="宋体"/>
        </w:rPr>
      </w:r>
      <w:r/>
    </w:p>
    <w:p>
      <w:pPr>
        <w:pStyle w:val="1482"/>
        <w:ind w:firstLine="480"/>
        <w:spacing w:line="440" w:lineRule="exact"/>
        <w:rPr>
          <w:rFonts w:hint="eastAsia" w:hAnsi="宋体" w:cs="宋体"/>
        </w:rPr>
      </w:pPr>
      <w:r>
        <w:rPr>
          <w:rFonts w:hint="eastAsia" w:hAnsi="宋体" w:cs="宋体"/>
        </w:rPr>
      </w:r>
      <w:r/>
    </w:p>
    <w:p>
      <w:pPr>
        <w:pStyle w:val="1482"/>
        <w:ind w:firstLine="480"/>
        <w:spacing w:line="440" w:lineRule="exact"/>
        <w:rPr>
          <w:rFonts w:hint="eastAsia" w:hAnsi="宋体" w:cs="宋体"/>
        </w:rPr>
      </w:pPr>
      <w:r>
        <w:rPr>
          <w:rFonts w:hint="eastAsia" w:hAnsi="宋体" w:cs="宋体"/>
        </w:rPr>
        <w:t xml:space="preserve">我单位保证上述声明的事项都是真实的，如有虚假，我单位愿意承担相应的法律责任，并承担因此所造成的一切损失。</w:t>
      </w:r>
      <w:r>
        <w:rPr>
          <w:rFonts w:hint="eastAsia" w:hAnsi="宋体" w:cs="宋体"/>
        </w:rPr>
      </w:r>
      <w:r/>
    </w:p>
    <w:p>
      <w:pPr>
        <w:pStyle w:val="1482"/>
        <w:ind w:firstLine="480"/>
        <w:spacing w:line="440" w:lineRule="exact"/>
        <w:rPr>
          <w:rFonts w:hint="eastAsia" w:hAnsi="宋体" w:cs="宋体"/>
        </w:rPr>
      </w:pPr>
      <w:r>
        <w:rPr>
          <w:rFonts w:hint="eastAsia" w:hAnsi="宋体" w:cs="宋体"/>
        </w:rPr>
      </w:r>
      <w:r/>
    </w:p>
    <w:p>
      <w:pPr>
        <w:pStyle w:val="1482"/>
        <w:ind w:firstLine="480"/>
        <w:spacing w:line="440" w:lineRule="exact"/>
        <w:rPr>
          <w:rFonts w:hint="eastAsia" w:hAnsi="宋体" w:cs="宋体"/>
        </w:rPr>
      </w:pPr>
      <w:r>
        <w:rPr>
          <w:rFonts w:hint="eastAsia" w:hAnsi="宋体" w:cs="宋体"/>
        </w:rPr>
        <w:t xml:space="preserve">供应商名称：（加盖公章）</w:t>
      </w:r>
      <w:r>
        <w:rPr>
          <w:rFonts w:hint="eastAsia" w:hAnsi="宋体" w:cs="宋体"/>
        </w:rPr>
      </w:r>
      <w:r/>
    </w:p>
    <w:p>
      <w:pPr>
        <w:pStyle w:val="1482"/>
        <w:ind w:firstLine="480"/>
        <w:spacing w:line="440" w:lineRule="exact"/>
        <w:rPr>
          <w:rFonts w:hint="eastAsia" w:hAnsi="宋体" w:cs="宋体"/>
        </w:rPr>
      </w:pPr>
      <w:r>
        <w:rPr>
          <w:rFonts w:hint="eastAsia" w:hAnsi="宋体" w:cs="宋体"/>
          <w:color w:val="000000"/>
        </w:rPr>
        <w:t xml:space="preserve">法定代表人或授权委托人（签字或盖章）</w:t>
      </w:r>
      <w:r>
        <w:rPr>
          <w:rFonts w:hint="eastAsia" w:hAnsi="宋体" w:cs="宋体"/>
        </w:rPr>
        <w:t xml:space="preserve">：</w:t>
      </w:r>
      <w:r>
        <w:rPr>
          <w:rFonts w:hint="eastAsia" w:hAnsi="宋体" w:cs="宋体"/>
        </w:rPr>
      </w:r>
      <w:r/>
    </w:p>
    <w:p>
      <w:pPr>
        <w:pStyle w:val="1482"/>
        <w:ind w:firstLine="480"/>
        <w:spacing w:line="440" w:lineRule="exact"/>
        <w:rPr>
          <w:rFonts w:hint="eastAsia" w:hAnsi="宋体" w:cs="宋体"/>
        </w:rPr>
      </w:pPr>
      <w:r>
        <w:rPr>
          <w:rFonts w:hint="eastAsia" w:hAnsi="宋体" w:cs="宋体"/>
        </w:rPr>
        <w:t xml:space="preserve">日期：    年    月    日</w:t>
      </w:r>
      <w:r>
        <w:rPr>
          <w:rFonts w:hint="eastAsia" w:hAnsi="宋体" w:cs="宋体"/>
        </w:rPr>
      </w:r>
      <w:r/>
    </w:p>
    <w:p>
      <w:pPr>
        <w:pStyle w:val="1270"/>
        <w:spacing w:line="440" w:lineRule="exact"/>
        <w:rPr>
          <w:rFonts w:hint="eastAsia" w:ascii="宋体" w:hAnsi="宋体" w:cs="宋体"/>
          <w:sz w:val="24"/>
        </w:rPr>
      </w:pP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rPr>
          <w:rFonts w:hint="eastAsia" w:ascii="宋体" w:hAnsi="宋体" w:cs="宋体"/>
          <w:sz w:val="24"/>
        </w:rPr>
      </w:r>
      <w:r/>
    </w:p>
    <w:p>
      <w:pPr>
        <w:pStyle w:val="1270"/>
        <w:spacing w:line="440" w:lineRule="exact"/>
        <w:tabs>
          <w:tab w:val="left" w:pos="5580" w:leader="none"/>
        </w:tabs>
        <w:rPr>
          <w:rFonts w:hint="eastAsia" w:ascii="宋体" w:hAnsi="宋体" w:cs="宋体"/>
          <w:sz w:val="24"/>
        </w:rPr>
        <w:sectPr>
          <w:footerReference w:type="default" r:id="rId22"/>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sz w:val="24"/>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t xml:space="preserve">2、落实政府采购政策需满足的资格要求</w:t>
      </w:r>
      <w:r>
        <w:rPr>
          <w:rFonts w:hint="eastAsia" w:ascii="宋体" w:hAnsi="宋体" w:cs="宋体"/>
          <w:color w:val="000000"/>
          <w:sz w:val="24"/>
          <w:szCs w:val="20"/>
        </w:rPr>
      </w:r>
      <w:r/>
    </w:p>
    <w:p>
      <w:pPr>
        <w:pStyle w:val="127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2-1.中小企业声明函</w:t>
      </w:r>
      <w:r>
        <w:rPr>
          <w:rFonts w:hint="eastAsia" w:ascii="宋体" w:hAnsi="宋体" w:cs="宋体"/>
          <w:color w:val="000000"/>
          <w:sz w:val="24"/>
          <w:szCs w:val="20"/>
        </w:rPr>
      </w:r>
      <w:r/>
    </w:p>
    <w:p>
      <w:pPr>
        <w:pStyle w:val="1270"/>
        <w:spacing w:line="440" w:lineRule="exact"/>
        <w:tabs>
          <w:tab w:val="left" w:pos="5580" w:leader="none"/>
        </w:tabs>
        <w:rPr>
          <w:rFonts w:hint="eastAsia" w:ascii="宋体" w:hAnsi="宋体" w:cs="宋体"/>
          <w:sz w:val="24"/>
        </w:rPr>
      </w:pPr>
      <w:r>
        <w:rPr>
          <w:rFonts w:hint="eastAsia" w:ascii="宋体" w:hAnsi="宋体" w:cs="宋体"/>
          <w:sz w:val="24"/>
        </w:rPr>
        <w:t xml:space="preserve">说明：</w:t>
      </w:r>
      <w:r>
        <w:rPr>
          <w:rFonts w:hint="eastAsia" w:ascii="宋体" w:hAnsi="宋体" w:cs="宋体"/>
          <w:sz w:val="24"/>
        </w:rPr>
      </w:r>
      <w:r/>
    </w:p>
    <w:p>
      <w:pPr>
        <w:pStyle w:val="1270"/>
        <w:spacing w:line="440" w:lineRule="exact"/>
        <w:tabs>
          <w:tab w:val="left" w:pos="5580" w:leader="none"/>
        </w:tabs>
        <w:rPr>
          <w:rFonts w:hint="eastAsia" w:ascii="宋体" w:hAnsi="宋体" w:cs="宋体"/>
          <w:sz w:val="24"/>
        </w:rPr>
      </w:pPr>
      <w:r>
        <w:rPr>
          <w:rFonts w:hint="eastAsia" w:ascii="宋体" w:hAnsi="宋体" w:cs="宋体"/>
          <w:sz w:val="24"/>
        </w:rPr>
        <w:t xml:space="preserve">（1）如本项目（包）不专门面向中小企业预留采购份额，供应商非必须提供；当小微企业拟享受中小企业扶持政策时，仍应提供《中小企业声明函》，</w:t>
      </w:r>
      <w:r>
        <w:rPr>
          <w:rFonts w:hint="eastAsia" w:ascii="宋体" w:hAnsi="宋体" w:cs="宋体"/>
          <w:color w:val="000000"/>
          <w:sz w:val="24"/>
        </w:rPr>
        <w:t xml:space="preserve">否则不得享受相关中小企业扶持政策</w:t>
      </w:r>
      <w:r>
        <w:rPr>
          <w:rFonts w:hint="eastAsia" w:ascii="宋体" w:hAnsi="宋体" w:cs="宋体"/>
          <w:sz w:val="24"/>
        </w:rPr>
        <w:t xml:space="preserve">。</w:t>
      </w:r>
      <w:r>
        <w:rPr>
          <w:rFonts w:hint="eastAsia" w:ascii="宋体" w:hAnsi="宋体" w:cs="宋体"/>
          <w:sz w:val="24"/>
        </w:rPr>
      </w:r>
      <w:r/>
    </w:p>
    <w:p>
      <w:pPr>
        <w:pStyle w:val="1270"/>
        <w:spacing w:line="440" w:lineRule="exact"/>
        <w:tabs>
          <w:tab w:val="left" w:pos="5580" w:leader="none"/>
        </w:tabs>
        <w:rPr>
          <w:rFonts w:hint="eastAsia" w:ascii="宋体" w:hAnsi="宋体" w:cs="宋体"/>
          <w:sz w:val="24"/>
        </w:rPr>
      </w:pPr>
      <w:r>
        <w:rPr>
          <w:rFonts w:hint="eastAsia" w:ascii="宋体" w:hAnsi="宋体" w:cs="宋体"/>
          <w:sz w:val="24"/>
        </w:rPr>
        <w:t xml:space="preserve">（2）如本项目（包）专门面向中小/小微企业采购，须提供《中小企业声明函》</w:t>
      </w:r>
      <w:r>
        <w:rPr>
          <w:rFonts w:hint="eastAsia" w:ascii="宋体" w:hAnsi="宋体" w:cs="宋体"/>
          <w:color w:val="000000"/>
          <w:sz w:val="24"/>
          <w:szCs w:val="20"/>
        </w:rPr>
        <w:t xml:space="preserve">（实质性格式）</w:t>
      </w:r>
      <w:r>
        <w:rPr>
          <w:rFonts w:hint="eastAsia" w:ascii="宋体" w:hAnsi="宋体" w:cs="宋体"/>
          <w:sz w:val="24"/>
        </w:rPr>
        <w:t xml:space="preserve">。</w:t>
      </w:r>
      <w:r>
        <w:rPr>
          <w:rFonts w:hint="eastAsia" w:ascii="宋体" w:hAnsi="宋体" w:cs="宋体"/>
          <w:sz w:val="24"/>
        </w:rPr>
      </w:r>
      <w:r/>
    </w:p>
    <w:p>
      <w:pPr>
        <w:pStyle w:val="1270"/>
        <w:spacing w:line="440" w:lineRule="exact"/>
        <w:tabs>
          <w:tab w:val="left" w:pos="5580" w:leader="none"/>
        </w:tabs>
        <w:rPr>
          <w:rFonts w:hint="eastAsia" w:ascii="宋体" w:hAnsi="宋体" w:cs="宋体"/>
          <w:sz w:val="24"/>
        </w:rPr>
      </w:pPr>
      <w:r>
        <w:rPr>
          <w:rFonts w:hint="eastAsia" w:ascii="宋体" w:hAnsi="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sz w:val="24"/>
        </w:rPr>
      </w:r>
      <w:r/>
    </w:p>
    <w:p>
      <w:pPr>
        <w:pStyle w:val="1270"/>
        <w:spacing w:line="440" w:lineRule="exact"/>
        <w:tabs>
          <w:tab w:val="left" w:pos="5580" w:leader="none"/>
        </w:tabs>
        <w:rPr>
          <w:rFonts w:hint="eastAsia" w:ascii="宋体" w:hAnsi="宋体" w:cs="宋体"/>
          <w:sz w:val="24"/>
        </w:rPr>
      </w:pPr>
      <w:r>
        <w:rPr>
          <w:rFonts w:hint="eastAsia" w:ascii="宋体" w:hAnsi="宋体" w:cs="宋体"/>
          <w:sz w:val="24"/>
        </w:rPr>
        <w:t xml:space="preserve">（4）其它</w:t>
      </w:r>
      <w:r>
        <w:rPr>
          <w:rFonts w:hint="eastAsia" w:ascii="宋体" w:hAnsi="宋体" w:cs="宋体"/>
          <w:sz w:val="24"/>
        </w:rPr>
      </w:r>
      <w:r/>
    </w:p>
    <w:p>
      <w:pPr>
        <w:pStyle w:val="1270"/>
        <w:spacing w:line="440" w:lineRule="exact"/>
        <w:tabs>
          <w:tab w:val="left" w:pos="5580" w:leader="none"/>
        </w:tabs>
        <w:rPr>
          <w:rFonts w:hint="eastAsia" w:ascii="宋体" w:hAnsi="宋体" w:cs="宋体"/>
          <w:sz w:val="24"/>
        </w:rPr>
      </w:pPr>
      <w:r>
        <w:rPr>
          <w:rFonts w:hint="eastAsia" w:ascii="宋体" w:hAnsi="宋体" w:cs="宋体"/>
          <w:sz w:val="24"/>
        </w:rPr>
        <w:t xml:space="preserve">1）中小企业参加政府采购活动，应当出具此格式文件。《中小企业声明函》由参加政府采购活动的供应商出具。联合体响应的，《中小企业声明函》由牵头人出具。</w:t>
      </w:r>
      <w:r>
        <w:rPr>
          <w:rFonts w:hint="eastAsia" w:ascii="宋体" w:hAnsi="宋体" w:cs="宋体"/>
          <w:sz w:val="24"/>
        </w:rPr>
      </w:r>
      <w:r/>
    </w:p>
    <w:p>
      <w:pPr>
        <w:pStyle w:val="1270"/>
        <w:spacing w:line="440" w:lineRule="exact"/>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sz w:val="24"/>
        </w:rPr>
      </w:r>
      <w:r/>
    </w:p>
    <w:p>
      <w:pPr>
        <w:pStyle w:val="1270"/>
        <w:spacing w:line="440" w:lineRule="exact"/>
        <w:tabs>
          <w:tab w:val="left" w:pos="5580" w:leader="none"/>
        </w:tabs>
        <w:rPr>
          <w:rFonts w:hint="eastAsia" w:ascii="宋体" w:hAnsi="宋体" w:cs="宋体"/>
          <w:sz w:val="24"/>
        </w:rPr>
      </w:pPr>
      <w:r>
        <w:rPr>
          <w:rFonts w:hint="eastAsia" w:ascii="宋体" w:hAnsi="宋体" w:cs="宋体"/>
          <w:sz w:val="24"/>
        </w:rPr>
        <w:t xml:space="preserve">3）对于多标的的采购项目，供应商应充分、准确地了解所投产品制造企业信息。对相关情况了解不清楚的，不建议填报本声明函。</w:t>
      </w:r>
      <w:r>
        <w:rPr>
          <w:rFonts w:hint="eastAsia" w:ascii="宋体" w:hAnsi="宋体" w:cs="宋体"/>
          <w:sz w:val="24"/>
        </w:rPr>
      </w:r>
      <w:r/>
    </w:p>
    <w:p>
      <w:pPr>
        <w:pStyle w:val="1270"/>
        <w:spacing w:line="440" w:lineRule="exact"/>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cs="宋体"/>
          <w:sz w:val="24"/>
        </w:rPr>
      </w:r>
      <w:r/>
    </w:p>
    <w:p>
      <w:pPr>
        <w:pStyle w:val="1270"/>
        <w:spacing w:line="440" w:lineRule="exact"/>
        <w:tabs>
          <w:tab w:val="left" w:pos="5580" w:leader="none"/>
        </w:tabs>
        <w:rPr>
          <w:rFonts w:hint="eastAsia" w:ascii="宋体" w:hAnsi="宋体" w:cs="宋体"/>
          <w:sz w:val="24"/>
        </w:rPr>
      </w:pPr>
      <w:r>
        <w:rPr>
          <w:rFonts w:hint="eastAsia" w:ascii="宋体" w:hAnsi="宋体" w:cs="宋体"/>
          <w:sz w:val="24"/>
        </w:rPr>
      </w:r>
      <w:r/>
    </w:p>
    <w:p>
      <w:pPr>
        <w:pStyle w:val="1270"/>
        <w:jc w:val="center"/>
        <w:spacing w:line="440" w:lineRule="exact"/>
        <w:rPr>
          <w:rFonts w:hint="eastAsia" w:ascii="宋体" w:hAnsi="宋体" w:cs="宋体"/>
          <w:b/>
          <w:color w:val="000000"/>
          <w:sz w:val="28"/>
          <w:szCs w:val="28"/>
        </w:rPr>
      </w:pPr>
      <w:r>
        <w:rPr>
          <w:rFonts w:hint="eastAsia" w:ascii="宋体" w:hAnsi="宋体" w:cs="宋体"/>
          <w:sz w:val="24"/>
        </w:rPr>
        <w:br w:type="page" w:clear="all"/>
      </w:r>
      <w:r>
        <w:rPr>
          <w:rFonts w:hint="eastAsia" w:ascii="宋体" w:hAnsi="宋体" w:cs="宋体"/>
          <w:b/>
          <w:color w:val="000000"/>
          <w:sz w:val="28"/>
          <w:szCs w:val="28"/>
        </w:rPr>
        <w:t xml:space="preserve">中小企业声明函（服务）格式</w:t>
      </w:r>
      <w:r>
        <w:rPr>
          <w:rFonts w:hint="eastAsia" w:ascii="宋体" w:hAnsi="宋体" w:cs="宋体"/>
          <w:b/>
          <w:color w:val="000000"/>
          <w:sz w:val="28"/>
          <w:szCs w:val="28"/>
        </w:rPr>
      </w:r>
      <w:r/>
    </w:p>
    <w:p>
      <w:pPr>
        <w:pStyle w:val="1270"/>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1270"/>
        <w:ind w:firstLine="504"/>
        <w:spacing w:line="440" w:lineRule="exact"/>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pacing w:val="6"/>
          <w:sz w:val="24"/>
        </w:rPr>
      </w:r>
      <w:r/>
    </w:p>
    <w:p>
      <w:pPr>
        <w:pStyle w:val="1270"/>
        <w:ind w:firstLine="504"/>
        <w:spacing w:line="440" w:lineRule="exact"/>
        <w:rPr>
          <w:rFonts w:hint="eastAsia"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，属于（中型企业、小型企业、微型企业）；</w:t>
      </w:r>
      <w:r>
        <w:rPr>
          <w:rFonts w:hint="eastAsia" w:ascii="宋体" w:hAnsi="宋体" w:cs="宋体"/>
          <w:spacing w:val="6"/>
          <w:sz w:val="24"/>
        </w:rPr>
      </w:r>
      <w:r/>
    </w:p>
    <w:p>
      <w:pPr>
        <w:pStyle w:val="1270"/>
        <w:ind w:firstLine="504"/>
        <w:spacing w:line="440" w:lineRule="exact"/>
        <w:rPr>
          <w:rFonts w:hint="eastAsia"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rPr>
          <w:rFonts w:hint="eastAsia" w:ascii="宋体" w:hAnsi="宋体" w:cs="宋体"/>
          <w:spacing w:val="6"/>
          <w:sz w:val="24"/>
        </w:rPr>
      </w:r>
      <w:r/>
    </w:p>
    <w:p>
      <w:pPr>
        <w:pStyle w:val="1270"/>
        <w:ind w:firstLine="504"/>
        <w:spacing w:line="440" w:lineRule="exact"/>
        <w:rPr>
          <w:rFonts w:hint="eastAsia" w:ascii="宋体" w:hAnsi="宋体" w:cs="宋体"/>
          <w:spacing w:val="6"/>
          <w:sz w:val="24"/>
        </w:rPr>
      </w:pPr>
      <w:r>
        <w:rPr>
          <w:rFonts w:hint="eastAsia" w:ascii="宋体" w:hAnsi="宋体" w:cs="宋体"/>
          <w:spacing w:val="6"/>
          <w:sz w:val="24"/>
        </w:rPr>
      </w:r>
      <w:r/>
    </w:p>
    <w:p>
      <w:pPr>
        <w:pStyle w:val="1270"/>
        <w:ind w:firstLine="504"/>
        <w:spacing w:line="440" w:lineRule="exact"/>
        <w:rPr>
          <w:rFonts w:hint="eastAsia" w:ascii="宋体" w:hAnsi="宋体" w:cs="宋体"/>
          <w:spacing w:val="6"/>
          <w:sz w:val="24"/>
        </w:rPr>
      </w:pPr>
      <w:r>
        <w:rPr>
          <w:rFonts w:hint="eastAsia" w:ascii="宋体" w:hAnsi="宋体" w:cs="宋体"/>
          <w:spacing w:val="6"/>
          <w:sz w:val="24"/>
        </w:rPr>
        <w:t xml:space="preserve">……</w:t>
      </w:r>
      <w:r>
        <w:rPr>
          <w:rFonts w:hint="eastAsia" w:ascii="宋体" w:hAnsi="宋体" w:cs="宋体"/>
          <w:spacing w:val="6"/>
          <w:sz w:val="24"/>
        </w:rPr>
      </w:r>
      <w:r/>
    </w:p>
    <w:p>
      <w:pPr>
        <w:pStyle w:val="1270"/>
        <w:ind w:firstLine="504"/>
        <w:spacing w:line="440" w:lineRule="exact"/>
        <w:rPr>
          <w:rFonts w:hint="eastAsia"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rPr>
          <w:rFonts w:hint="eastAsia" w:ascii="宋体" w:hAnsi="宋体" w:cs="宋体"/>
          <w:spacing w:val="6"/>
          <w:sz w:val="24"/>
        </w:rPr>
      </w:r>
      <w:r/>
    </w:p>
    <w:p>
      <w:pPr>
        <w:pStyle w:val="1270"/>
        <w:ind w:firstLine="504"/>
        <w:spacing w:line="440" w:lineRule="exact"/>
        <w:rPr>
          <w:rFonts w:hint="eastAsia"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rPr>
          <w:rFonts w:hint="eastAsia" w:ascii="宋体" w:hAnsi="宋体" w:cs="宋体"/>
          <w:spacing w:val="6"/>
          <w:sz w:val="24"/>
        </w:rPr>
      </w:r>
      <w:r/>
    </w:p>
    <w:p>
      <w:pPr>
        <w:pStyle w:val="1270"/>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pStyle w:val="1270"/>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270"/>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rPr>
          <w:rFonts w:hint="eastAsia" w:ascii="宋体" w:hAnsi="宋体" w:cs="宋体"/>
          <w:color w:val="000000"/>
          <w:sz w:val="24"/>
        </w:rPr>
      </w:r>
      <w:r/>
    </w:p>
    <w:p>
      <w:pPr>
        <w:pStyle w:val="1270"/>
        <w:jc w:val="left"/>
        <w:spacing w:line="440" w:lineRule="exact"/>
        <w:rPr>
          <w:rFonts w:hint="eastAsia" w:ascii="宋体" w:hAnsi="宋体" w:cs="宋体"/>
          <w:color w:val="000000"/>
          <w:sz w:val="24"/>
        </w:rPr>
      </w:pPr>
      <w:r>
        <w:rPr>
          <w:rFonts w:hint="eastAsia" w:ascii="宋体" w:hAnsi="宋体" w:cs="宋体"/>
          <w:color w:val="000000"/>
          <w:sz w:val="24"/>
        </w:rPr>
      </w:r>
      <w:r/>
    </w:p>
    <w:p>
      <w:pPr>
        <w:pStyle w:val="1270"/>
        <w:jc w:val="left"/>
        <w:spacing w:line="440" w:lineRule="exact"/>
        <w:rPr>
          <w:rFonts w:hint="eastAsia" w:ascii="宋体" w:hAnsi="宋体" w:cs="宋体"/>
          <w:color w:val="000000"/>
          <w:sz w:val="24"/>
        </w:rPr>
      </w:pPr>
      <w:r>
        <w:rPr>
          <w:rFonts w:hint="eastAsia" w:ascii="宋体" w:hAnsi="宋体" w:cs="宋体"/>
          <w:color w:val="000000"/>
          <w:sz w:val="24"/>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270"/>
              <w:jc w:val="left"/>
              <w:spacing w:line="440" w:lineRule="exact"/>
              <w:rPr>
                <w:rFonts w:hint="eastAsia"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rPr>
                <w:rFonts w:hint="eastAsia" w:ascii="宋体" w:hAnsi="宋体" w:cs="宋体"/>
                <w:color w:val="000000"/>
                <w:sz w:val="24"/>
              </w:rPr>
            </w:r>
            <w:r/>
          </w:p>
        </w:tc>
      </w:tr>
    </w:tbl>
    <w:p>
      <w:pPr>
        <w:pStyle w:val="1270"/>
        <w:jc w:val="left"/>
        <w:rPr>
          <w:rFonts w:hint="eastAsia" w:ascii="宋体" w:hAnsi="宋体" w:cs="宋体"/>
          <w:color w:val="000000"/>
          <w:szCs w:val="21"/>
          <w:vertAlign w:val="superscript"/>
        </w:rPr>
      </w:pPr>
      <w:r>
        <w:rPr>
          <w:rFonts w:hint="eastAsia" w:ascii="宋体" w:hAnsi="宋体" w:cs="宋体"/>
          <w:color w:val="000000"/>
          <w:szCs w:val="21"/>
          <w:vertAlign w:val="superscript"/>
        </w:rPr>
      </w:r>
      <w:r/>
    </w:p>
    <w:p>
      <w:pPr>
        <w:pStyle w:val="1270"/>
        <w:ind w:right="360" w:firstLine="480"/>
        <w:jc w:val="right"/>
        <w:spacing w:line="360" w:lineRule="auto"/>
        <w:rPr>
          <w:rFonts w:hint="eastAsia" w:ascii="宋体" w:hAnsi="宋体" w:cs="宋体"/>
          <w:color w:val="000000"/>
          <w:sz w:val="24"/>
        </w:rPr>
      </w:pPr>
      <w:r>
        <w:rPr>
          <w:rFonts w:hint="eastAsia" w:ascii="宋体" w:hAnsi="宋体" w:cs="宋体"/>
          <w:color w:val="000000"/>
          <w:sz w:val="24"/>
        </w:rPr>
      </w:r>
      <w:r/>
    </w:p>
    <w:p>
      <w:pPr>
        <w:pStyle w:val="1270"/>
        <w:jc w:val="cente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270"/>
        <w:jc w:val="cente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270"/>
        <w:jc w:val="center"/>
        <w:spacing w:line="440" w:lineRule="exact"/>
        <w:rPr>
          <w:rFonts w:hint="eastAsia" w:ascii="宋体" w:hAnsi="宋体" w:cs="宋体"/>
          <w:b/>
          <w:color w:val="000000"/>
          <w:sz w:val="36"/>
          <w:szCs w:val="36"/>
        </w:rPr>
        <w:sectPr>
          <w:headerReference w:type="even" r:id="rId12"/>
          <w:headerReference w:type="first" r:id="rId13"/>
          <w:footerReference w:type="even" r:id="rId23"/>
          <w:footerReference w:type="first" r:id="rId24"/>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b/>
          <w:color w:val="000000"/>
          <w:sz w:val="36"/>
          <w:szCs w:val="36"/>
        </w:rPr>
      </w:r>
      <w:r/>
    </w:p>
    <w:p>
      <w:pPr>
        <w:pStyle w:val="1270"/>
        <w:jc w:val="center"/>
        <w:spacing w:line="440" w:lineRule="exact"/>
        <w:rPr>
          <w:rFonts w:hint="eastAsia" w:ascii="宋体" w:hAnsi="宋体" w:cs="宋体"/>
          <w:b/>
          <w:color w:val="000000"/>
          <w:sz w:val="36"/>
          <w:szCs w:val="36"/>
        </w:rPr>
      </w:pPr>
      <w:r>
        <w:rPr>
          <w:rFonts w:hint="eastAsia" w:ascii="宋体" w:hAnsi="宋体" w:cs="宋体"/>
          <w:b/>
          <w:sz w:val="28"/>
          <w:szCs w:val="28"/>
        </w:rPr>
        <w:t xml:space="preserve">残疾人福利性单位声明函格式</w:t>
      </w:r>
      <w:r>
        <w:rPr>
          <w:rFonts w:hint="eastAsia" w:ascii="宋体" w:hAnsi="宋体" w:cs="宋体"/>
          <w:b/>
          <w:color w:val="000000"/>
          <w:sz w:val="36"/>
          <w:szCs w:val="36"/>
        </w:rPr>
        <w:t xml:space="preserve">       </w:t>
      </w:r>
      <w:r>
        <w:rPr>
          <w:rFonts w:hint="eastAsia" w:ascii="宋体" w:hAnsi="宋体" w:cs="宋体"/>
          <w:b/>
          <w:color w:val="000000"/>
          <w:sz w:val="36"/>
          <w:szCs w:val="36"/>
        </w:rPr>
      </w:r>
      <w:r/>
    </w:p>
    <w:p>
      <w:pPr>
        <w:pStyle w:val="1270"/>
        <w:jc w:val="center"/>
        <w:spacing w:line="440" w:lineRule="exact"/>
        <w:rPr>
          <w:rFonts w:hint="eastAsia" w:ascii="宋体" w:hAnsi="宋体" w:cs="宋体"/>
          <w:color w:val="000000"/>
          <w:sz w:val="36"/>
          <w:szCs w:val="36"/>
        </w:rPr>
      </w:pPr>
      <w:r>
        <w:rPr>
          <w:rFonts w:hint="eastAsia" w:ascii="宋体" w:hAnsi="宋体" w:cs="宋体"/>
          <w:color w:val="000000"/>
          <w:sz w:val="36"/>
          <w:szCs w:val="36"/>
        </w:rPr>
      </w:r>
      <w:r/>
    </w:p>
    <w:p>
      <w:pPr>
        <w:pStyle w:val="1270"/>
        <w:ind w:firstLine="504"/>
        <w:spacing w:line="44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rPr>
          <w:rFonts w:hint="eastAsia" w:ascii="宋体" w:hAnsi="宋体" w:cs="宋体"/>
          <w:spacing w:val="6"/>
          <w:sz w:val="24"/>
        </w:rPr>
      </w:r>
      <w:r/>
    </w:p>
    <w:p>
      <w:pPr>
        <w:pStyle w:val="1270"/>
        <w:ind w:firstLine="482"/>
        <w:spacing w:line="440"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rPr>
          <w:rFonts w:hint="eastAsia" w:ascii="宋体" w:hAnsi="宋体" w:cs="宋体"/>
          <w:b/>
          <w:spacing w:val="6"/>
          <w:sz w:val="24"/>
        </w:rPr>
      </w:r>
      <w:r/>
    </w:p>
    <w:p>
      <w:pPr>
        <w:pStyle w:val="1270"/>
        <w:ind w:firstLine="482"/>
        <w:spacing w:line="440"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24"/>
        </w:rPr>
      </w:r>
      <w:r/>
    </w:p>
    <w:p>
      <w:pPr>
        <w:pStyle w:val="1270"/>
        <w:ind w:firstLine="506"/>
        <w:spacing w:line="440"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rPr>
          <w:rFonts w:hint="eastAsia" w:ascii="宋体" w:hAnsi="宋体" w:cs="宋体"/>
          <w:spacing w:val="6"/>
          <w:sz w:val="24"/>
        </w:rPr>
      </w:r>
      <w:r/>
    </w:p>
    <w:p>
      <w:pPr>
        <w:pStyle w:val="1270"/>
        <w:ind w:firstLine="504"/>
        <w:spacing w:line="440" w:lineRule="exact"/>
        <w:rPr>
          <w:rFonts w:hint="eastAsia" w:ascii="宋体" w:hAnsi="宋体" w:cs="宋体"/>
          <w:spacing w:val="6"/>
          <w:sz w:val="24"/>
        </w:rPr>
      </w:pPr>
      <w:r>
        <w:rPr>
          <w:rFonts w:hint="eastAsia" w:ascii="宋体" w:hAnsi="宋体" w:cs="宋体"/>
          <w:spacing w:val="6"/>
          <w:sz w:val="24"/>
        </w:rPr>
      </w:r>
      <w:r/>
    </w:p>
    <w:p>
      <w:pPr>
        <w:pStyle w:val="1270"/>
        <w:ind w:firstLine="504"/>
        <w:spacing w:line="440" w:lineRule="exact"/>
        <w:rPr>
          <w:rFonts w:hint="eastAsia" w:ascii="宋体" w:hAnsi="宋体" w:cs="宋体"/>
          <w:spacing w:val="6"/>
          <w:sz w:val="24"/>
        </w:rPr>
      </w:pPr>
      <w:r>
        <w:rPr>
          <w:rFonts w:hint="eastAsia" w:ascii="宋体" w:hAnsi="宋体" w:cs="宋体"/>
          <w:spacing w:val="6"/>
          <w:sz w:val="24"/>
        </w:rPr>
      </w:r>
      <w:r/>
    </w:p>
    <w:p>
      <w:pPr>
        <w:pStyle w:val="1270"/>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270"/>
        <w:ind w:right="1560" w:firstLine="480"/>
        <w:spacing w:line="440" w:lineRule="exact"/>
        <w:tabs>
          <w:tab w:val="left" w:pos="4860" w:leader="none"/>
        </w:tabs>
        <w:rPr>
          <w:rFonts w:hint="eastAsia" w:ascii="宋体" w:hAnsi="宋体" w:cs="宋体"/>
          <w:spacing w:val="6"/>
          <w:sz w:val="24"/>
        </w:rPr>
      </w:pPr>
      <w:r>
        <w:rPr>
          <w:rFonts w:hint="eastAsia" w:ascii="宋体" w:hAnsi="宋体" w:cs="宋体"/>
          <w:color w:val="000000"/>
          <w:sz w:val="24"/>
        </w:rPr>
        <w:t xml:space="preserve">日期：________</w:t>
      </w:r>
      <w:r>
        <w:rPr>
          <w:rFonts w:hint="eastAsia" w:ascii="宋体" w:hAnsi="宋体" w:cs="宋体"/>
          <w:spacing w:val="6"/>
          <w:sz w:val="24"/>
        </w:rPr>
      </w:r>
      <w:r/>
    </w:p>
    <w:p>
      <w:pPr>
        <w:pStyle w:val="1270"/>
        <w:spacing w:line="440" w:lineRule="exact"/>
        <w:tabs>
          <w:tab w:val="left" w:pos="8280" w:leader="none"/>
        </w:tabs>
        <w:rPr>
          <w:rFonts w:hint="eastAsia" w:ascii="宋体" w:hAnsi="宋体" w:cs="宋体"/>
          <w:color w:val="000000"/>
          <w:sz w:val="24"/>
        </w:rPr>
        <w:sectPr>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color w:val="000000"/>
          <w:sz w:val="24"/>
        </w:rPr>
      </w:r>
      <w:r/>
    </w:p>
    <w:p>
      <w:pPr>
        <w:pStyle w:val="1270"/>
        <w:jc w:val="center"/>
        <w:spacing w:line="440" w:lineRule="exact"/>
        <w:widowControl/>
        <w:rPr>
          <w:rFonts w:hint="eastAsia" w:ascii="宋体" w:hAnsi="宋体" w:cs="宋体"/>
          <w:b/>
          <w:sz w:val="32"/>
          <w:szCs w:val="32"/>
        </w:rPr>
      </w:pPr>
      <w:r/>
      <w:bookmarkStart w:id="687" w:name="_Ref467988705"/>
      <w:r/>
      <w:bookmarkStart w:id="688" w:name="_Toc264969247"/>
      <w:r/>
      <w:bookmarkStart w:id="689" w:name="_Toc305158825"/>
      <w:r/>
      <w:bookmarkStart w:id="690" w:name="_Toc305158899"/>
      <w:r/>
      <w:bookmarkStart w:id="691" w:name="_Toc265228395"/>
      <w:r/>
      <w:bookmarkStart w:id="692" w:name="_Toc226309801"/>
      <w:r/>
      <w:bookmarkStart w:id="693" w:name="_Toc195842922"/>
      <w:r/>
      <w:bookmarkStart w:id="694" w:name="_Toc226965747"/>
      <w:r/>
      <w:bookmarkStart w:id="695" w:name="_Toc226337253"/>
      <w:r/>
      <w:bookmarkStart w:id="696" w:name="_Toc150480795"/>
      <w:r/>
      <w:bookmarkStart w:id="697" w:name="_Toc150774762"/>
      <w:r/>
      <w:bookmarkStart w:id="698" w:name="_Toc127151557"/>
      <w:r/>
      <w:bookmarkStart w:id="699" w:name="_Toc142311059"/>
      <w:r/>
      <w:bookmarkStart w:id="700" w:name="_Toc480942350"/>
      <w:r/>
      <w:bookmarkStart w:id="701" w:name="_Toc520356218"/>
      <w:r/>
      <w:bookmarkStart w:id="702" w:name="_Toc226965830"/>
      <w:r>
        <w:rPr>
          <w:rFonts w:hint="eastAsia" w:ascii="宋体" w:hAnsi="宋体" w:cs="宋体"/>
          <w:b/>
          <w:sz w:val="32"/>
          <w:szCs w:val="32"/>
        </w:rPr>
        <w:t xml:space="preserve">二、商务技术文件格式</w:t>
      </w:r>
      <w:bookmarkStart w:id="703" w:name="_Toc226337252"/>
      <w:r/>
      <w:bookmarkStart w:id="704" w:name="_Toc150774761"/>
      <w:r/>
      <w:bookmarkStart w:id="705" w:name="_Ref467988698"/>
      <w:r/>
      <w:bookmarkStart w:id="706" w:name="_Toc195842921"/>
      <w:r/>
      <w:bookmarkStart w:id="707" w:name="_Toc226309800"/>
      <w:r/>
      <w:bookmarkStart w:id="708" w:name="_Toc520356217"/>
      <w:r/>
      <w:bookmarkStart w:id="709" w:name="_Toc127151556"/>
      <w:r/>
      <w:bookmarkStart w:id="710" w:name="_Toc150480794"/>
      <w:r/>
      <w:bookmarkStart w:id="711" w:name="_Toc480942349"/>
      <w:r/>
      <w:bookmarkStart w:id="712" w:name="_Toc142311058"/>
      <w:r/>
      <w:bookmarkStart w:id="713" w:name="_Toc226965746"/>
      <w:r/>
      <w:bookmarkStart w:id="714" w:name="_Toc226965829"/>
      <w:r>
        <w:rPr>
          <w:rFonts w:hint="eastAsia" w:ascii="宋体" w:hAnsi="宋体" w:cs="宋体"/>
          <w:b/>
          <w:sz w:val="32"/>
          <w:szCs w:val="32"/>
        </w:rPr>
      </w:r>
      <w:r/>
    </w:p>
    <w:p>
      <w:pPr>
        <w:pStyle w:val="1270"/>
        <w:spacing w:line="440" w:lineRule="exact"/>
        <w:rPr>
          <w:rFonts w:hint="eastAsia" w:ascii="宋体" w:hAnsi="宋体" w:cs="宋体"/>
          <w:color w:val="000000"/>
          <w:sz w:val="24"/>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w:t>
      </w:r>
      <w:r>
        <w:rPr>
          <w:rFonts w:hint="eastAsia" w:ascii="宋体" w:hAnsi="宋体" w:cs="宋体"/>
          <w:color w:val="000000"/>
          <w:sz w:val="24"/>
        </w:rPr>
        <w:t xml:space="preserve">投标</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rPr>
          <w:rFonts w:hint="eastAsia" w:ascii="宋体" w:hAnsi="宋体" w:cs="宋体"/>
          <w:color w:val="000000"/>
          <w:sz w:val="24"/>
        </w:rPr>
      </w:r>
      <w:r/>
    </w:p>
    <w:p>
      <w:pPr>
        <w:pStyle w:val="1270"/>
        <w:jc w:val="center"/>
        <w:spacing w:line="440" w:lineRule="exact"/>
        <w:widowControl/>
        <w:rPr>
          <w:rFonts w:hint="eastAsia" w:ascii="宋体" w:hAnsi="宋体" w:cs="宋体"/>
          <w:b/>
          <w:sz w:val="28"/>
          <w:szCs w:val="28"/>
        </w:rPr>
      </w:pPr>
      <w:r>
        <w:rPr>
          <w:rFonts w:hint="eastAsia" w:ascii="宋体" w:hAnsi="宋体" w:cs="宋体"/>
          <w:b/>
          <w:sz w:val="28"/>
          <w:szCs w:val="28"/>
        </w:rPr>
        <w:t xml:space="preserve">响应函</w:t>
      </w:r>
      <w:r>
        <w:rPr>
          <w:rFonts w:hint="eastAsia" w:ascii="宋体" w:hAnsi="宋体" w:cs="宋体"/>
          <w:b/>
          <w:sz w:val="28"/>
          <w:szCs w:val="28"/>
        </w:rPr>
      </w:r>
      <w:r/>
    </w:p>
    <w:p>
      <w:pPr>
        <w:pStyle w:val="1491"/>
        <w:tabs>
          <w:tab w:val="left" w:pos="567" w:leader="none"/>
        </w:tabs>
        <w:rPr>
          <w:rFonts w:hint="eastAsia"/>
        </w:rPr>
      </w:pPr>
      <w:r>
        <w:rPr>
          <w:rFonts w:hint="eastAsia"/>
        </w:rPr>
      </w:r>
      <w:r/>
    </w:p>
    <w:p>
      <w:pPr>
        <w:pStyle w:val="1270"/>
        <w:spacing w:line="440" w:lineRule="exact"/>
        <w:tabs>
          <w:tab w:val="left" w:pos="5580" w:leader="none"/>
        </w:tabs>
        <w:rPr>
          <w:rFonts w:hint="eastAsia" w:ascii="宋体" w:hAnsi="宋体" w:cs="宋体"/>
          <w:color w:val="000000"/>
          <w:sz w:val="24"/>
        </w:rPr>
      </w:pPr>
      <w:r>
        <w:rPr>
          <w:rFonts w:hint="eastAsia" w:ascii="宋体" w:hAnsi="宋体" w:cs="宋体"/>
          <w:color w:val="000000"/>
          <w:sz w:val="24"/>
        </w:rPr>
        <w:t xml:space="preserve">致：</w:t>
      </w:r>
      <w:r>
        <w:rPr>
          <w:rFonts w:hint="eastAsia" w:ascii="宋体" w:hAnsi="宋体" w:cs="宋体"/>
          <w:sz w:val="24"/>
        </w:rPr>
        <w:t xml:space="preserve">常州市生态环境监控中心溧阳分中心、江苏龙城招投标有限公司</w:t>
      </w:r>
      <w:r>
        <w:rPr>
          <w:rFonts w:hint="eastAsia" w:ascii="宋体" w:hAnsi="宋体" w:cs="宋体"/>
          <w:color w:val="000000"/>
          <w:sz w:val="24"/>
        </w:rPr>
      </w:r>
      <w:r/>
    </w:p>
    <w:p>
      <w:pPr>
        <w:pStyle w:val="127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270"/>
        <w:ind w:firstLine="408"/>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我方参加你方就___________（项目名称，项目编号/包号）组织的政府采购活动，并对此项目进行响应。</w:t>
      </w:r>
      <w:r>
        <w:rPr>
          <w:rFonts w:hint="eastAsia" w:ascii="宋体" w:hAnsi="宋体" w:cs="宋体"/>
          <w:color w:val="000000"/>
          <w:sz w:val="24"/>
          <w:szCs w:val="20"/>
        </w:rPr>
      </w:r>
      <w:r/>
    </w:p>
    <w:p>
      <w:pPr>
        <w:pStyle w:val="1270"/>
        <w:ind w:firstLine="408"/>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已详细审查全部磋商文件</w:t>
      </w:r>
      <w:r>
        <w:rPr>
          <w:rFonts w:hint="eastAsia" w:ascii="宋体" w:hAnsi="宋体" w:cs="宋体"/>
          <w:color w:val="000000"/>
          <w:sz w:val="24"/>
          <w:szCs w:val="20"/>
        </w:rPr>
        <w:t xml:space="preserve">，自愿参与响应并承诺如下：</w:t>
      </w:r>
      <w:r>
        <w:rPr>
          <w:rFonts w:hint="eastAsia" w:ascii="宋体" w:hAnsi="宋体" w:cs="宋体"/>
          <w:color w:val="000000"/>
          <w:sz w:val="24"/>
          <w:szCs w:val="20"/>
        </w:rPr>
      </w:r>
      <w:r/>
    </w:p>
    <w:p>
      <w:pPr>
        <w:pStyle w:val="1270"/>
        <w:ind w:left="360" w:firstLine="72"/>
        <w:spacing w:line="440" w:lineRule="exact"/>
        <w:tabs>
          <w:tab w:val="left" w:pos="720" w:leader="none"/>
          <w:tab w:val="left" w:pos="900" w:leader="none"/>
        </w:tabs>
        <w:rPr>
          <w:rFonts w:hint="eastAsia" w:ascii="宋体" w:hAnsi="宋体" w:cs="宋体"/>
          <w:color w:val="000000"/>
          <w:sz w:val="24"/>
          <w:szCs w:val="20"/>
        </w:rPr>
      </w:pPr>
      <w:r>
        <w:rPr>
          <w:rFonts w:hint="eastAsia" w:ascii="宋体" w:hAnsi="宋体" w:cs="宋体"/>
          <w:color w:val="000000"/>
          <w:sz w:val="24"/>
          <w:szCs w:val="20"/>
        </w:rPr>
        <w:t xml:space="preserve">（1）本响应有效期为自提交响应文件的截止之日起</w:t>
      </w:r>
      <w:r>
        <w:rPr>
          <w:rFonts w:hint="eastAsia" w:ascii="宋体" w:hAnsi="宋体" w:cs="宋体"/>
          <w:sz w:val="24"/>
        </w:rPr>
        <w:t xml:space="preserve">120</w:t>
      </w:r>
      <w:r>
        <w:rPr>
          <w:rFonts w:hint="eastAsia" w:ascii="宋体" w:hAnsi="宋体" w:cs="宋体"/>
          <w:color w:val="000000"/>
          <w:sz w:val="24"/>
          <w:szCs w:val="20"/>
        </w:rPr>
        <w:t xml:space="preserve">个日历日。</w:t>
      </w:r>
      <w:r>
        <w:rPr>
          <w:rFonts w:hint="eastAsia" w:ascii="宋体" w:hAnsi="宋体" w:cs="宋体"/>
          <w:color w:val="000000"/>
          <w:sz w:val="24"/>
          <w:szCs w:val="20"/>
        </w:rPr>
      </w:r>
      <w:r/>
    </w:p>
    <w:p>
      <w:pPr>
        <w:pStyle w:val="1270"/>
        <w:ind w:left="360" w:firstLine="72"/>
        <w:spacing w:line="440" w:lineRule="exact"/>
        <w:tabs>
          <w:tab w:val="left" w:pos="720" w:leader="none"/>
          <w:tab w:val="left" w:pos="900" w:leader="none"/>
        </w:tabs>
        <w:rPr>
          <w:rFonts w:hint="eastAsia"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（2）除合同条款及采购需求偏离表列出的偏离外，我方响应磋商文件的全部要求。</w:t>
      </w:r>
      <w:r>
        <w:rPr>
          <w:rFonts w:hint="eastAsia" w:ascii="宋体" w:hAnsi="宋体" w:cs="宋体"/>
          <w:color w:val="000000"/>
          <w:sz w:val="24"/>
          <w:szCs w:val="20"/>
        </w:rPr>
      </w:r>
      <w:r/>
    </w:p>
    <w:p>
      <w:pPr>
        <w:pStyle w:val="1270"/>
        <w:ind w:firstLine="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rPr>
          <w:rFonts w:hint="eastAsia" w:ascii="宋体" w:hAnsi="宋体" w:cs="宋体"/>
          <w:color w:val="000000"/>
          <w:sz w:val="24"/>
          <w:szCs w:val="20"/>
        </w:rPr>
      </w:r>
      <w:r/>
    </w:p>
    <w:p>
      <w:pPr>
        <w:pStyle w:val="1270"/>
        <w:ind w:firstLine="420"/>
        <w:spacing w:line="440" w:lineRule="exact"/>
        <w:tabs>
          <w:tab w:val="left" w:pos="5580" w:leader="none"/>
        </w:tabs>
        <w:rPr>
          <w:rFonts w:hint="eastAsia"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（4）如我方中标，我方将在法律规定的期限内与你方签订合同，按照磋商文件要求提交履约保证金，并在合同约定的期限内完成合同规定的全部义务。</w:t>
      </w:r>
      <w:r>
        <w:rPr>
          <w:rFonts w:hint="eastAsia" w:ascii="宋体" w:hAnsi="宋体" w:cs="宋体"/>
          <w:color w:val="000000"/>
          <w:sz w:val="24"/>
        </w:rPr>
      </w:r>
      <w:r/>
    </w:p>
    <w:p>
      <w:pPr>
        <w:pStyle w:val="1270"/>
        <w:ind w:left="420"/>
        <w:spacing w:line="440" w:lineRule="exact"/>
        <w:rPr>
          <w:rFonts w:hint="eastAsia" w:ascii="宋体" w:hAnsi="宋体" w:cs="宋体"/>
          <w:color w:val="000000"/>
          <w:sz w:val="24"/>
        </w:rPr>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rPr>
          <w:rFonts w:hint="eastAsia" w:ascii="宋体" w:hAnsi="宋体" w:cs="宋体"/>
          <w:color w:val="000000"/>
          <w:sz w:val="24"/>
        </w:rPr>
      </w:r>
      <w:r/>
    </w:p>
    <w:p>
      <w:pPr>
        <w:pStyle w:val="1270"/>
        <w:ind w:firstLine="480"/>
        <w:spacing w:line="440" w:lineRule="exact"/>
        <w:rPr>
          <w:rFonts w:hint="eastAsia" w:ascii="宋体" w:hAnsi="宋体" w:cs="宋体"/>
          <w:color w:val="000000"/>
          <w:sz w:val="24"/>
        </w:rPr>
      </w:pPr>
      <w:r>
        <w:rPr>
          <w:rFonts w:hint="eastAsia" w:ascii="宋体" w:hAnsi="宋体" w:cs="宋体"/>
          <w:color w:val="000000"/>
          <w:sz w:val="24"/>
        </w:rPr>
        <w:t xml:space="preserve">与本响应有关的一切正式往来信函请寄：</w:t>
      </w:r>
      <w:r>
        <w:rPr>
          <w:rFonts w:hint="eastAsia" w:ascii="宋体" w:hAnsi="宋体" w:cs="宋体"/>
          <w:color w:val="000000"/>
          <w:sz w:val="24"/>
        </w:rPr>
      </w:r>
      <w:r/>
    </w:p>
    <w:p>
      <w:pPr>
        <w:pStyle w:val="1270"/>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270"/>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地址_________________________     传真____________________________</w:t>
      </w:r>
      <w:r>
        <w:rPr>
          <w:rFonts w:hint="eastAsia" w:ascii="宋体" w:hAnsi="宋体" w:cs="宋体"/>
          <w:color w:val="000000"/>
          <w:sz w:val="24"/>
          <w:szCs w:val="20"/>
        </w:rPr>
      </w:r>
      <w:r/>
    </w:p>
    <w:p>
      <w:pPr>
        <w:pStyle w:val="1270"/>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电话_________________________     电子函件________________________</w:t>
      </w:r>
      <w:r>
        <w:rPr>
          <w:rFonts w:hint="eastAsia" w:ascii="宋体" w:hAnsi="宋体" w:cs="宋体"/>
          <w:color w:val="000000"/>
          <w:sz w:val="24"/>
          <w:szCs w:val="20"/>
        </w:rPr>
      </w:r>
      <w:r/>
    </w:p>
    <w:p>
      <w:pPr>
        <w:pStyle w:val="1270"/>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270"/>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270"/>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ascii="宋体" w:hAnsi="宋体" w:cs="宋体"/>
          <w:color w:val="000000"/>
          <w:sz w:val="24"/>
          <w:szCs w:val="20"/>
        </w:rPr>
      </w:r>
      <w:r/>
    </w:p>
    <w:p>
      <w:pPr>
        <w:pStyle w:val="1270"/>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日期：_____年______月______日    </w:t>
      </w:r>
      <w:r>
        <w:rPr>
          <w:rFonts w:hint="eastAsia" w:ascii="宋体" w:hAnsi="宋体" w:cs="宋体"/>
          <w:color w:val="000000"/>
          <w:sz w:val="24"/>
          <w:szCs w:val="20"/>
        </w:rPr>
      </w:r>
      <w:r/>
    </w:p>
    <w:p>
      <w:pPr>
        <w:pStyle w:val="1270"/>
        <w:ind w:left="420"/>
        <w:spacing w:line="440" w:lineRule="exact"/>
        <w:tabs>
          <w:tab w:val="left" w:pos="5580" w:leader="none"/>
        </w:tabs>
        <w:rPr>
          <w:rFonts w:hint="eastAsia" w:ascii="宋体" w:hAnsi="宋体" w:cs="宋体"/>
          <w:color w:val="000000"/>
          <w:sz w:val="24"/>
          <w:szCs w:val="20"/>
          <w:u w:val="single"/>
        </w:rPr>
      </w:pPr>
      <w:r>
        <w:rPr>
          <w:rFonts w:hint="eastAsia" w:ascii="宋体" w:hAnsi="宋体" w:cs="宋体"/>
          <w:color w:val="000000"/>
          <w:sz w:val="24"/>
          <w:szCs w:val="20"/>
          <w:u w:val="single"/>
        </w:rPr>
      </w:r>
      <w:r/>
    </w:p>
    <w:p>
      <w:pPr>
        <w:pStyle w:val="1270"/>
        <w:jc w:val="left"/>
        <w:spacing w:line="440" w:lineRule="exact"/>
        <w:widowControl/>
        <w:rPr>
          <w:rFonts w:hint="eastAsia" w:ascii="宋体" w:hAnsi="宋体" w:cs="宋体"/>
          <w:color w:val="000000"/>
          <w:sz w:val="24"/>
        </w:rPr>
      </w:pPr>
      <w:r/>
      <w:bookmarkStart w:id="715" w:name="_Hlt520356243"/>
      <w:r/>
      <w:bookmarkEnd w:id="715"/>
      <w:r/>
      <w:bookmarkStart w:id="716" w:name="_Hlt520355938"/>
      <w:r/>
      <w:bookmarkEnd w:id="716"/>
      <w:r>
        <w:rPr>
          <w:rFonts w:hint="eastAsia" w:ascii="宋体" w:hAnsi="宋体" w:cs="宋体"/>
          <w:color w:val="000000"/>
          <w:sz w:val="24"/>
        </w:rPr>
      </w:r>
      <w:r/>
    </w:p>
    <w:p>
      <w:pPr>
        <w:pStyle w:val="1514"/>
        <w:rPr>
          <w:rFonts w:hint="eastAsia" w:ascii="宋体" w:hAnsi="宋体" w:cs="宋体"/>
          <w:color w:val="000000"/>
          <w:sz w:val="24"/>
        </w:rPr>
      </w:pPr>
      <w:r>
        <w:rPr>
          <w:rFonts w:hint="eastAsia" w:ascii="宋体" w:hAnsi="宋体" w:cs="宋体"/>
          <w:color w:val="000000"/>
          <w:sz w:val="24"/>
        </w:rPr>
      </w:r>
      <w:r/>
    </w:p>
    <w:p>
      <w:pPr>
        <w:pStyle w:val="1514"/>
        <w:rPr>
          <w:rFonts w:hint="eastAsia" w:ascii="宋体" w:hAnsi="宋体" w:cs="宋体"/>
          <w:color w:val="000000"/>
          <w:sz w:val="24"/>
        </w:rPr>
      </w:pPr>
      <w:r>
        <w:rPr>
          <w:rFonts w:hint="eastAsia" w:ascii="宋体" w:hAnsi="宋体" w:cs="宋体"/>
          <w:color w:val="000000"/>
          <w:sz w:val="24"/>
        </w:rPr>
      </w:r>
      <w:r/>
    </w:p>
    <w:p>
      <w:pPr>
        <w:pStyle w:val="1514"/>
        <w:rPr>
          <w:rFonts w:hint="eastAsia" w:ascii="宋体" w:hAnsi="宋体" w:cs="宋体"/>
          <w:color w:val="000000"/>
          <w:sz w:val="24"/>
        </w:rPr>
      </w:pPr>
      <w:r>
        <w:rPr>
          <w:rFonts w:hint="eastAsia" w:ascii="宋体" w:hAnsi="宋体" w:cs="宋体"/>
          <w:color w:val="000000"/>
          <w:sz w:val="24"/>
        </w:rPr>
      </w:r>
      <w:r/>
    </w:p>
    <w:p>
      <w:pPr>
        <w:pStyle w:val="1514"/>
        <w:rPr>
          <w:rFonts w:hint="eastAsia" w:ascii="宋体" w:hAnsi="宋体" w:cs="宋体"/>
          <w:color w:val="000000"/>
          <w:sz w:val="24"/>
        </w:rPr>
      </w:pPr>
      <w:r>
        <w:rPr>
          <w:rFonts w:hint="eastAsia" w:ascii="宋体" w:hAnsi="宋体" w:cs="宋体"/>
          <w:color w:val="000000"/>
          <w:sz w:val="24"/>
        </w:rPr>
      </w:r>
      <w:r/>
    </w:p>
    <w:p>
      <w:pPr>
        <w:pStyle w:val="1514"/>
        <w:rPr>
          <w:rFonts w:hint="eastAsia" w:ascii="宋体" w:hAnsi="宋体" w:cs="宋体"/>
          <w:color w:val="000000"/>
          <w:sz w:val="24"/>
        </w:rPr>
      </w:pPr>
      <w:r>
        <w:rPr>
          <w:rFonts w:hint="eastAsia" w:ascii="宋体" w:hAnsi="宋体" w:cs="宋体"/>
          <w:color w:val="000000"/>
          <w:sz w:val="24"/>
        </w:rPr>
      </w:r>
      <w:r/>
    </w:p>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pStyle w:val="1270"/>
        <w:jc w:val="left"/>
        <w:spacing w:line="440" w:lineRule="exact"/>
        <w:widowControl/>
        <w:rPr>
          <w:rFonts w:hint="eastAsia" w:ascii="宋体" w:hAnsi="宋体" w:cs="宋体"/>
          <w:b/>
          <w:sz w:val="32"/>
          <w:szCs w:val="32"/>
        </w:rPr>
      </w:pPr>
      <w:r>
        <w:rPr>
          <w:rFonts w:hint="eastAsia" w:ascii="宋体" w:hAnsi="宋体" w:cs="宋体"/>
          <w:color w:val="000000"/>
          <w:sz w:val="24"/>
        </w:rPr>
        <w:t xml:space="preserve">2、法定代表人资格证明书</w:t>
      </w:r>
      <w:r>
        <w:rPr>
          <w:rFonts w:hint="eastAsia" w:ascii="宋体" w:hAnsi="宋体" w:cs="宋体"/>
          <w:color w:val="000000"/>
          <w:sz w:val="24"/>
          <w:szCs w:val="20"/>
        </w:rPr>
        <w:t xml:space="preserve">（实质性格式）</w:t>
      </w:r>
      <w:r>
        <w:rPr>
          <w:rFonts w:hint="eastAsia" w:ascii="宋体" w:hAnsi="宋体" w:cs="宋体"/>
          <w:b/>
          <w:sz w:val="32"/>
          <w:szCs w:val="32"/>
        </w:rPr>
      </w:r>
      <w:r/>
    </w:p>
    <w:p>
      <w:pPr>
        <w:pStyle w:val="1270"/>
        <w:jc w:val="center"/>
        <w:spacing w:line="440" w:lineRule="exact"/>
        <w:rPr>
          <w:rFonts w:hint="eastAsia" w:ascii="宋体" w:hAnsi="宋体" w:cs="宋体"/>
          <w:b/>
          <w:sz w:val="28"/>
          <w:szCs w:val="28"/>
        </w:rPr>
      </w:pPr>
      <w:r>
        <w:rPr>
          <w:rFonts w:hint="eastAsia" w:ascii="宋体" w:hAnsi="宋体" w:cs="宋体"/>
          <w:b/>
          <w:sz w:val="28"/>
          <w:szCs w:val="28"/>
        </w:rPr>
        <w:t xml:space="preserve">法定代表人资格证明书</w:t>
      </w:r>
      <w:r>
        <w:rPr>
          <w:rFonts w:hint="eastAsia" w:ascii="宋体" w:hAnsi="宋体" w:cs="宋体"/>
          <w:b/>
          <w:sz w:val="28"/>
          <w:szCs w:val="28"/>
        </w:rPr>
      </w:r>
      <w:r/>
    </w:p>
    <w:p>
      <w:pPr>
        <w:pStyle w:val="1491"/>
        <w:tabs>
          <w:tab w:val="left" w:pos="567" w:leader="none"/>
        </w:tabs>
        <w:rPr>
          <w:rFonts w:hint="eastAsia"/>
        </w:rPr>
      </w:pPr>
      <w:r>
        <w:rPr>
          <w:rFonts w:hint="eastAsia"/>
        </w:rPr>
      </w:r>
      <w:r/>
    </w:p>
    <w:p>
      <w:pPr>
        <w:pStyle w:val="1270"/>
        <w:spacing w:line="44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t xml:space="preserve">姓名:     性别:       年龄:      职务:</w:t>
      </w: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（供应商名称）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上述项目的响应文件、进行合同磋商、签署合同和处理与之有关的一切事务。</w:t>
      </w: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t xml:space="preserve">特此证明。</w:t>
      </w: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r>
      <w:r/>
    </w:p>
    <w:p>
      <w:pPr>
        <w:pStyle w:val="1491"/>
        <w:ind w:right="-46"/>
        <w:spacing w:before="0" w:line="440" w:lineRule="exact"/>
        <w:tabs>
          <w:tab w:val="left" w:pos="567" w:leader="none"/>
        </w:tabs>
        <w:rPr>
          <w:rFonts w:hint="eastAsia"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w:t>
      </w:r>
      <w:r>
        <w:rPr>
          <w:spacing w:val="-3"/>
        </w:rPr>
        <w:t xml:space="preserve">正反面</w:t>
      </w:r>
      <w:r>
        <w:rPr>
          <w:rFonts w:hint="eastAsia"/>
          <w:spacing w:val="-3"/>
        </w:rPr>
        <w:t xml:space="preserve">电子</w:t>
      </w:r>
      <w:r>
        <w:rPr>
          <w:spacing w:val="-3"/>
        </w:rPr>
        <w:t xml:space="preserve">件</w:t>
      </w:r>
      <w:r>
        <w:rPr>
          <w:rFonts w:hint="eastAsia" w:cs="宋体"/>
          <w:spacing w:val="-3"/>
        </w:rPr>
        <w:t xml:space="preserve">。</w:t>
      </w:r>
      <w:r>
        <w:rPr>
          <w:rFonts w:hint="eastAsia" w:cs="宋体"/>
          <w:spacing w:val="-3"/>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270"/>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270"/>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    </w:t>
            </w:r>
            <w:r>
              <w:rPr>
                <w:rFonts w:hint="eastAsia" w:ascii="宋体" w:hAnsi="宋体" w:cs="宋体"/>
                <w:color w:val="000000"/>
                <w:sz w:val="24"/>
                <w:szCs w:val="20"/>
              </w:rPr>
            </w:r>
            <w:r/>
          </w:p>
          <w:p>
            <w:pPr>
              <w:pStyle w:val="1514"/>
              <w:rPr>
                <w:rFonts w:hint="eastAsia" w:ascii="宋体" w:hAnsi="宋体" w:cs="宋体"/>
                <w:color w:val="000000"/>
                <w:sz w:val="24"/>
                <w:szCs w:val="20"/>
              </w:rPr>
            </w:pPr>
            <w:r>
              <w:rPr>
                <w:rFonts w:hint="eastAsia" w:ascii="宋体" w:hAnsi="宋体" w:cs="宋体"/>
                <w:color w:val="000000"/>
                <w:sz w:val="24"/>
                <w:szCs w:val="20"/>
              </w:rPr>
            </w:r>
            <w:r/>
          </w:p>
          <w:p>
            <w:pPr>
              <w:pStyle w:val="1514"/>
              <w:rPr>
                <w:rFonts w:hint="eastAsia" w:ascii="宋体" w:hAnsi="宋体" w:cs="宋体"/>
                <w:color w:val="000000"/>
                <w:sz w:val="24"/>
                <w:szCs w:val="20"/>
              </w:rPr>
            </w:pPr>
            <w:r>
              <w:rPr>
                <w:rFonts w:hint="eastAsia" w:ascii="宋体" w:hAnsi="宋体" w:cs="宋体"/>
                <w:color w:val="000000"/>
                <w:sz w:val="24"/>
                <w:szCs w:val="20"/>
              </w:rPr>
            </w:r>
            <w:r/>
          </w:p>
          <w:p>
            <w:pPr>
              <w:pStyle w:val="1514"/>
              <w:rPr>
                <w:rFonts w:hint="eastAsia" w:ascii="宋体" w:hAnsi="宋体" w:cs="宋体"/>
                <w:color w:val="000000"/>
                <w:sz w:val="24"/>
                <w:szCs w:val="20"/>
              </w:rPr>
            </w:pPr>
            <w:r>
              <w:rPr>
                <w:rFonts w:hint="eastAsia" w:ascii="宋体" w:hAnsi="宋体" w:cs="宋体"/>
                <w:color w:val="000000"/>
                <w:sz w:val="24"/>
                <w:szCs w:val="20"/>
              </w:rPr>
            </w:r>
            <w:r/>
          </w:p>
          <w:p>
            <w:pPr>
              <w:pStyle w:val="1514"/>
              <w:rPr>
                <w:rFonts w:hint="eastAsia" w:ascii="宋体" w:hAnsi="宋体" w:cs="宋体"/>
                <w:color w:val="000000"/>
                <w:sz w:val="24"/>
                <w:szCs w:val="20"/>
              </w:rPr>
            </w:pPr>
            <w:r>
              <w:rPr>
                <w:rFonts w:hint="eastAsia" w:ascii="宋体" w:hAnsi="宋体" w:cs="宋体"/>
                <w:color w:val="000000"/>
                <w:sz w:val="24"/>
                <w:szCs w:val="20"/>
              </w:rPr>
            </w:r>
            <w:r/>
          </w:p>
          <w:p>
            <w:pPr>
              <w:pStyle w:val="1514"/>
              <w:rPr>
                <w:rFonts w:hint="eastAsia" w:ascii="宋体" w:hAnsi="宋体" w:cs="宋体"/>
                <w:color w:val="000000"/>
                <w:sz w:val="24"/>
                <w:szCs w:val="20"/>
              </w:rPr>
            </w:pPr>
            <w:r>
              <w:rPr>
                <w:rFonts w:hint="eastAsia" w:ascii="宋体" w:hAnsi="宋体" w:cs="宋体"/>
                <w:color w:val="000000"/>
                <w:sz w:val="24"/>
                <w:szCs w:val="20"/>
              </w:rPr>
            </w:r>
            <w:r/>
          </w:p>
          <w:p>
            <w:pPr>
              <w:pStyle w:val="1514"/>
              <w:rPr>
                <w:rFonts w:hint="eastAsia" w:ascii="宋体" w:hAnsi="宋体" w:cs="宋体"/>
                <w:color w:val="000000"/>
                <w:sz w:val="24"/>
                <w:szCs w:val="20"/>
              </w:rPr>
            </w:pPr>
            <w:r>
              <w:rPr>
                <w:rFonts w:hint="eastAsia" w:ascii="宋体" w:hAnsi="宋体" w:cs="宋体"/>
                <w:color w:val="000000"/>
                <w:sz w:val="24"/>
                <w:szCs w:val="20"/>
              </w:rPr>
            </w:r>
            <w:r/>
          </w:p>
          <w:p>
            <w:pPr>
              <w:pStyle w:val="1514"/>
              <w:rPr>
                <w:rFonts w:ascii="宋体" w:hAnsi="宋体" w:cs="宋体"/>
                <w:color w:val="000000"/>
                <w:sz w:val="24"/>
                <w:szCs w:val="20"/>
              </w:rPr>
            </w:pPr>
            <w:r>
              <w:rPr>
                <w:rFonts w:ascii="宋体" w:hAnsi="宋体" w:cs="宋体"/>
                <w:color w:val="000000"/>
                <w:sz w:val="24"/>
                <w:szCs w:val="20"/>
              </w:rPr>
            </w:r>
            <w:r/>
          </w:p>
          <w:p>
            <w:pPr>
              <w:pStyle w:val="1270"/>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tc>
        <w:tc>
          <w:tcPr>
            <w:tcW w:w="4536" w:type="dxa"/>
            <w:vAlign w:val="top"/>
            <w:textDirection w:val="lrTb"/>
            <w:noWrap w:val="false"/>
          </w:tcPr>
          <w:p>
            <w:pPr>
              <w:pStyle w:val="1270"/>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270"/>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270"/>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tc>
      </w:tr>
    </w:tbl>
    <w:p>
      <w:pPr>
        <w:pStyle w:val="1270"/>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270"/>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ascii="宋体" w:hAnsi="宋体" w:cs="宋体"/>
          <w:color w:val="000000"/>
          <w:sz w:val="24"/>
          <w:szCs w:val="20"/>
        </w:rPr>
      </w:r>
      <w:r/>
    </w:p>
    <w:p>
      <w:pPr>
        <w:pStyle w:val="1270"/>
        <w:ind w:firstLine="480"/>
        <w:spacing w:line="440" w:lineRule="exact"/>
        <w:rPr>
          <w:rFonts w:hint="eastAsia" w:ascii="宋体" w:hAnsi="宋体" w:cs="宋体"/>
          <w:sz w:val="24"/>
        </w:rPr>
      </w:pPr>
      <w:r>
        <w:rPr>
          <w:rFonts w:hint="eastAsia" w:ascii="宋体" w:hAnsi="宋体" w:cs="宋体"/>
          <w:color w:val="000000"/>
          <w:sz w:val="24"/>
          <w:szCs w:val="20"/>
        </w:rPr>
        <w:t xml:space="preserve">日期：_____年______月______日</w:t>
      </w:r>
      <w:r>
        <w:rPr>
          <w:rFonts w:hint="eastAsia" w:ascii="宋体" w:hAnsi="宋体" w:cs="宋体"/>
          <w:sz w:val="24"/>
        </w:rPr>
      </w:r>
      <w:r/>
    </w:p>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pStyle w:val="1270"/>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说明：</w:t>
      </w:r>
      <w:r>
        <w:rPr>
          <w:rFonts w:hint="eastAsia" w:ascii="宋体" w:hAnsi="宋体" w:cs="宋体"/>
          <w:color w:val="000000"/>
          <w:sz w:val="24"/>
          <w:szCs w:val="20"/>
        </w:rPr>
      </w:r>
      <w:r/>
    </w:p>
    <w:p>
      <w:pPr>
        <w:pStyle w:val="1270"/>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1.若供应商为事业单位或其他组织或分支机构（仅当磋商文件注明允许分支机构响应的），则法定代表人（单位负责人）处的签署人可为单位负责人。</w:t>
      </w:r>
      <w:r>
        <w:rPr>
          <w:rFonts w:hint="eastAsia" w:ascii="宋体" w:hAnsi="宋体" w:cs="宋体"/>
          <w:color w:val="000000"/>
          <w:sz w:val="24"/>
          <w:szCs w:val="20"/>
        </w:rPr>
      </w:r>
      <w:r/>
    </w:p>
    <w:p>
      <w:pPr>
        <w:pStyle w:val="1270"/>
        <w:jc w:val="left"/>
        <w:spacing w:line="440" w:lineRule="exact"/>
        <w:tabs>
          <w:tab w:val="left" w:pos="5580" w:leader="none"/>
        </w:tabs>
        <w:rPr>
          <w:rFonts w:hint="eastAsia" w:ascii="宋体" w:hAnsi="宋体" w:cs="宋体"/>
          <w:i/>
          <w:color w:val="000000"/>
          <w:sz w:val="24"/>
          <w:szCs w:val="20"/>
          <w:u w:val="single"/>
        </w:rPr>
      </w:pPr>
      <w:r>
        <w:rPr>
          <w:rFonts w:hint="eastAsia" w:ascii="宋体" w:hAnsi="宋体" w:cs="宋体"/>
          <w:color w:val="000000"/>
          <w:sz w:val="24"/>
          <w:szCs w:val="20"/>
        </w:rPr>
        <w:t xml:space="preserve">2.供应商为自然人的情形，可不提供本《授权委托书》。</w:t>
      </w:r>
      <w:r>
        <w:rPr>
          <w:rFonts w:hint="eastAsia" w:ascii="宋体" w:hAnsi="宋体" w:cs="宋体"/>
          <w:i/>
          <w:color w:val="000000"/>
          <w:sz w:val="24"/>
          <w:szCs w:val="20"/>
          <w:u w:val="single"/>
        </w:rPr>
      </w:r>
      <w:r/>
    </w:p>
    <w:p>
      <w:pPr>
        <w:pStyle w:val="1270"/>
        <w:pageBreakBefore/>
        <w:spacing w:line="440" w:lineRule="exact"/>
        <w:rPr>
          <w:rFonts w:hint="eastAsia" w:ascii="宋体" w:hAnsi="宋体" w:cs="宋体"/>
          <w:b/>
          <w:color w:val="000000"/>
          <w:sz w:val="28"/>
          <w:szCs w:val="28"/>
        </w:rPr>
      </w:pPr>
      <w:r>
        <w:rPr>
          <w:rFonts w:hint="eastAsia" w:ascii="宋体" w:hAnsi="宋体" w:cs="宋体"/>
          <w:bCs/>
          <w:color w:val="000000"/>
          <w:sz w:val="24"/>
        </w:rPr>
        <w:t xml:space="preserve">3、授权委托书</w:t>
      </w:r>
      <w:r>
        <w:rPr>
          <w:rFonts w:hint="eastAsia" w:ascii="宋体" w:hAnsi="宋体" w:cs="宋体"/>
          <w:color w:val="000000"/>
          <w:sz w:val="24"/>
          <w:szCs w:val="20"/>
        </w:rPr>
        <w:t xml:space="preserve">（实质性格式）</w:t>
      </w:r>
      <w:r>
        <w:rPr>
          <w:rFonts w:hint="eastAsia" w:ascii="宋体" w:hAnsi="宋体" w:cs="宋体"/>
          <w:b/>
          <w:color w:val="000000"/>
          <w:sz w:val="28"/>
          <w:szCs w:val="28"/>
        </w:rPr>
      </w:r>
      <w:r/>
    </w:p>
    <w:p>
      <w:pPr>
        <w:pStyle w:val="1281"/>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授权委托书</w:t>
      </w:r>
      <w:r>
        <w:rPr>
          <w:rFonts w:hint="eastAsia" w:hAnsi="宋体" w:eastAsia="宋体" w:cs="宋体"/>
          <w:b/>
          <w:color w:val="000000"/>
          <w:sz w:val="28"/>
          <w:szCs w:val="28"/>
        </w:rPr>
      </w:r>
      <w:r/>
    </w:p>
    <w:p>
      <w:pPr>
        <w:pStyle w:val="1270"/>
        <w:spacing w:line="440" w:lineRule="exact"/>
        <w:rPr>
          <w:rFonts w:hint="eastAsia" w:ascii="宋体" w:hAnsi="宋体" w:cs="宋体"/>
          <w:color w:val="000000"/>
          <w:spacing w:val="20"/>
          <w:sz w:val="24"/>
        </w:rPr>
      </w:pPr>
      <w:r>
        <w:rPr>
          <w:rFonts w:hint="eastAsia" w:ascii="宋体" w:hAnsi="宋体" w:cs="宋体"/>
          <w:color w:val="000000"/>
          <w:spacing w:val="20"/>
          <w:sz w:val="24"/>
        </w:rPr>
      </w:r>
      <w:r/>
    </w:p>
    <w:p>
      <w:pPr>
        <w:pStyle w:val="1270"/>
        <w:ind w:firstLine="516"/>
        <w:spacing w:line="440" w:lineRule="exact"/>
        <w:rPr>
          <w:rFonts w:hint="eastAsia" w:ascii="宋体" w:hAnsi="宋体" w:cs="宋体"/>
          <w:color w:val="000000"/>
          <w:sz w:val="24"/>
        </w:rPr>
      </w:pPr>
      <w:r>
        <w:rPr>
          <w:rFonts w:hint="eastAsia" w:ascii="宋体" w:hAnsi="宋体" w:cs="宋体"/>
          <w:color w:val="000000"/>
          <w:sz w:val="24"/>
        </w:rPr>
        <w:t xml:space="preserve">本授权委托书声明：</w:t>
      </w:r>
      <w:r>
        <w:rPr>
          <w:rFonts w:hint="eastAsia" w:ascii="宋体" w:hAnsi="宋体" w:cs="宋体"/>
          <w:color w:val="000000"/>
          <w:sz w:val="24"/>
        </w:rPr>
      </w:r>
      <w:r/>
    </w:p>
    <w:p>
      <w:pPr>
        <w:pStyle w:val="1270"/>
        <w:ind w:firstLine="516"/>
        <w:spacing w:line="440" w:lineRule="exact"/>
        <w:rPr>
          <w:rFonts w:hint="eastAsia" w:ascii="宋体" w:hAnsi="宋体" w:cs="宋体"/>
          <w:color w:val="000000"/>
          <w:sz w:val="24"/>
        </w:rPr>
      </w:pPr>
      <w:r>
        <w:rPr>
          <w:rFonts w:hint="eastAsia" w:ascii="宋体" w:hAnsi="宋体" w:cs="宋体"/>
          <w:color w:val="000000"/>
          <w:sz w:val="24"/>
        </w:rPr>
        <w:t xml:space="preserve">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rPr>
          <w:rFonts w:hint="eastAsia" w:ascii="宋体" w:hAnsi="宋体" w:cs="宋体"/>
          <w:color w:val="000000"/>
          <w:sz w:val="24"/>
        </w:rPr>
      </w:r>
      <w:r/>
    </w:p>
    <w:p>
      <w:pPr>
        <w:pStyle w:val="1270"/>
        <w:ind w:firstLine="397"/>
        <w:spacing w:line="440" w:lineRule="exact"/>
        <w:rPr>
          <w:rFonts w:hint="eastAsia" w:ascii="宋体" w:hAnsi="宋体" w:cs="宋体"/>
          <w:color w:val="000000"/>
          <w:sz w:val="24"/>
        </w:rPr>
      </w:pPr>
      <w:r>
        <w:rPr>
          <w:rFonts w:hint="eastAsia" w:ascii="宋体" w:hAnsi="宋体" w:cs="宋体"/>
          <w:color w:val="000000"/>
          <w:sz w:val="24"/>
        </w:rPr>
        <w:t xml:space="preserve">本授权书于__________年_______月________日签字生效，特此声明。</w:t>
      </w: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法定代表人签字或盖章：                       日期：</w:t>
      </w: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职务：                                       联系电话：</w:t>
      </w: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单位名称：                                   地址：</w:t>
      </w: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委托代理人（被授权人）签字或盖章：           日期：</w:t>
      </w: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职务：                                       联系电话：</w:t>
      </w: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单位名称：                                   地址：</w:t>
      </w: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供应商公章： </w:t>
      </w: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地址：                                       电话：</w:t>
      </w: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传真：                                       邮编：</w:t>
      </w: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开户行：</w:t>
      </w: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帐号：</w:t>
      </w: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备注：</w:t>
      </w: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1、法定代表人参加开标会议时，需携带本人身份证原件。</w:t>
      </w:r>
      <w:r>
        <w:rPr>
          <w:rFonts w:hint="eastAsia" w:ascii="宋体" w:hAnsi="宋体" w:cs="宋体"/>
          <w:color w:val="000000"/>
          <w:sz w:val="24"/>
        </w:rPr>
      </w:r>
      <w:r/>
    </w:p>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2、委托代理人参加开标会议时，需携带授权委托书和本人身份证原件。</w:t>
      </w:r>
      <w:r>
        <w:rPr>
          <w:rFonts w:hint="eastAsia" w:ascii="宋体" w:hAnsi="宋体" w:cs="宋体"/>
          <w:color w:val="000000"/>
          <w:sz w:val="24"/>
        </w:rPr>
      </w:r>
      <w:r/>
    </w:p>
    <w:p>
      <w:pPr>
        <w:pStyle w:val="1270"/>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pStyle w:val="1270"/>
        <w:jc w:val="left"/>
        <w:spacing w:line="440" w:lineRule="exact"/>
        <w:widowControl/>
        <w:rPr>
          <w:rFonts w:hint="eastAsia" w:ascii="宋体" w:hAnsi="宋体" w:cs="宋体"/>
          <w:b/>
          <w:sz w:val="32"/>
          <w:szCs w:val="32"/>
        </w:rPr>
      </w:pPr>
      <w:r>
        <w:rPr>
          <w:rFonts w:hint="eastAsia" w:ascii="宋体" w:hAnsi="宋体" w:cs="宋体"/>
          <w:color w:val="000000"/>
          <w:sz w:val="24"/>
        </w:rPr>
        <w:t xml:space="preserve">4、政府采购供应商信用承诺书</w:t>
      </w:r>
      <w:r>
        <w:rPr>
          <w:rFonts w:hint="eastAsia" w:ascii="宋体" w:hAnsi="宋体" w:cs="宋体"/>
          <w:color w:val="000000"/>
          <w:sz w:val="24"/>
          <w:szCs w:val="20"/>
        </w:rPr>
        <w:t xml:space="preserve">（实质性格式）</w:t>
      </w:r>
      <w:r>
        <w:rPr>
          <w:rFonts w:hint="eastAsia" w:ascii="宋体" w:hAnsi="宋体" w:cs="宋体"/>
          <w:b/>
          <w:sz w:val="32"/>
          <w:szCs w:val="32"/>
        </w:rPr>
      </w:r>
      <w:r/>
    </w:p>
    <w:p>
      <w:pPr>
        <w:pStyle w:val="1281"/>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政府采购供应商信用承诺书</w:t>
      </w:r>
      <w:r>
        <w:rPr>
          <w:rFonts w:hint="eastAsia" w:hAnsi="宋体" w:eastAsia="宋体" w:cs="宋体"/>
          <w:b/>
          <w:color w:val="000000"/>
          <w:sz w:val="28"/>
          <w:szCs w:val="28"/>
        </w:rPr>
      </w:r>
      <w:r/>
    </w:p>
    <w:p>
      <w:pPr>
        <w:pStyle w:val="1270"/>
        <w:ind w:firstLine="640"/>
        <w:spacing w:line="440" w:lineRule="exact"/>
        <w:rPr>
          <w:rFonts w:hint="eastAsia" w:ascii="宋体" w:hAnsi="宋体" w:cs="宋体"/>
        </w:rPr>
      </w:pPr>
      <w:r>
        <w:rPr>
          <w:rFonts w:hint="eastAsia" w:ascii="宋体" w:hAnsi="宋体" w:cs="宋体"/>
        </w:rPr>
      </w:r>
      <w:r/>
    </w:p>
    <w:p>
      <w:pPr>
        <w:pStyle w:val="1270"/>
        <w:ind w:firstLine="480"/>
        <w:spacing w:line="440" w:lineRule="exact"/>
        <w:rPr>
          <w:rFonts w:hint="eastAsia"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五、承诺本单位自觉接受行政管理部门、行业组织、社会公众、新闻舆论的监督。 </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七、承诺本单位在信用中国（江苏）网站中无违法违规、较重或严重失信记录。 </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八、承诺本单位提出政府采购质疑和投诉坚持依法依规、诚实信用原则。</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九、根据政府采购相关法律法规的规定需要作出的其他承诺。 </w:t>
      </w:r>
      <w:r>
        <w:rPr>
          <w:rFonts w:hint="eastAsia" w:ascii="宋体" w:hAnsi="宋体" w:cs="宋体"/>
          <w:sz w:val="24"/>
        </w:rPr>
      </w:r>
      <w:r/>
    </w:p>
    <w:p>
      <w:pPr>
        <w:pStyle w:val="1270"/>
        <w:ind w:firstLine="480"/>
        <w:spacing w:line="440" w:lineRule="exact"/>
        <w:rPr>
          <w:rFonts w:hint="eastAsia"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rPr>
          <w:rFonts w:hint="eastAsia" w:ascii="宋体" w:hAnsi="宋体" w:cs="宋体"/>
          <w:sz w:val="24"/>
        </w:rPr>
      </w:r>
      <w:r/>
    </w:p>
    <w:p>
      <w:pPr>
        <w:pStyle w:val="1270"/>
        <w:ind w:firstLine="480"/>
        <w:spacing w:line="440" w:lineRule="exact"/>
        <w:rPr>
          <w:rFonts w:hint="eastAsia" w:ascii="宋体" w:hAnsi="宋体" w:cs="宋体"/>
          <w:sz w:val="24"/>
          <w:szCs w:val="22"/>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rPr>
          <w:rFonts w:hint="eastAsia" w:ascii="宋体" w:hAnsi="宋体" w:cs="宋体"/>
          <w:sz w:val="24"/>
          <w:szCs w:val="22"/>
        </w:rPr>
      </w:r>
      <w:r/>
    </w:p>
    <w:p>
      <w:pPr>
        <w:pStyle w:val="1270"/>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270"/>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270"/>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5、报价一览表</w:t>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rFonts w:hint="eastAsia" w:ascii="宋体" w:hAnsi="宋体" w:cs="宋体"/>
          <w:color w:val="000000"/>
          <w:sz w:val="24"/>
          <w:szCs w:val="20"/>
        </w:rPr>
      </w:r>
      <w:r/>
    </w:p>
    <w:p>
      <w:pPr>
        <w:pStyle w:val="1281"/>
        <w:jc w:val="center"/>
        <w:spacing w:line="440" w:lineRule="exact"/>
        <w:rPr>
          <w:rFonts w:hint="eastAsia" w:hAnsi="宋体" w:eastAsia="宋体" w:cs="宋体"/>
          <w:b/>
          <w:color w:val="000000"/>
          <w:sz w:val="28"/>
          <w:szCs w:val="28"/>
        </w:rPr>
      </w:pPr>
      <w:r/>
      <w:bookmarkStart w:id="717" w:name="_Toc265228396"/>
      <w:r/>
      <w:bookmarkStart w:id="718" w:name="_Toc305158826"/>
      <w:r/>
      <w:bookmarkStart w:id="719" w:name="_Toc264969248"/>
      <w:r/>
      <w:bookmarkStart w:id="720" w:name="_Toc226965831"/>
      <w:r/>
      <w:bookmarkStart w:id="721" w:name="_Toc305158900"/>
      <w:r/>
      <w:bookmarkStart w:id="722" w:name="_Toc164608672"/>
      <w:r/>
      <w:bookmarkStart w:id="723" w:name="_Toc195842923"/>
      <w:r/>
      <w:bookmarkStart w:id="724" w:name="_Toc226309802"/>
      <w:r/>
      <w:bookmarkStart w:id="725" w:name="_Toc226965748"/>
      <w:r/>
      <w:bookmarkStart w:id="726" w:name="_Toc226337254"/>
      <w:r/>
      <w:bookmarkStart w:id="727" w:name="_Toc164608827"/>
      <w:r>
        <w:rPr>
          <w:rFonts w:hint="eastAsia" w:hAnsi="宋体" w:eastAsia="宋体" w:cs="宋体"/>
          <w:b/>
          <w:color w:val="000000"/>
          <w:sz w:val="28"/>
          <w:szCs w:val="28"/>
        </w:rPr>
        <w:t xml:space="preserve">报价一览表</w:t>
      </w:r>
      <w:bookmarkEnd w:id="717"/>
      <w:r/>
      <w:bookmarkEnd w:id="718"/>
      <w:r/>
      <w:bookmarkEnd w:id="719"/>
      <w:r/>
      <w:bookmarkEnd w:id="720"/>
      <w:r/>
      <w:bookmarkEnd w:id="721"/>
      <w:r/>
      <w:bookmarkEnd w:id="722"/>
      <w:r/>
      <w:bookmarkEnd w:id="723"/>
      <w:r/>
      <w:bookmarkEnd w:id="724"/>
      <w:r/>
      <w:bookmarkEnd w:id="725"/>
      <w:r/>
      <w:bookmarkEnd w:id="726"/>
      <w:r/>
      <w:bookmarkEnd w:id="727"/>
      <w:r>
        <w:rPr>
          <w:rFonts w:hint="eastAsia" w:hAnsi="宋体" w:eastAsia="宋体" w:cs="宋体"/>
          <w:b/>
          <w:color w:val="000000"/>
          <w:sz w:val="28"/>
          <w:szCs w:val="28"/>
        </w:rPr>
      </w:r>
      <w:r/>
    </w:p>
    <w:p>
      <w:pPr>
        <w:pStyle w:val="1281"/>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pStyle w:val="1270"/>
        <w:ind w:firstLine="24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rPr>
        <w:t xml:space="preserve">项目编号/包号：_____________________     项目名称：_______________________</w:t>
      </w:r>
      <w:r>
        <w:rPr>
          <w:rFonts w:hint="eastAsia" w:ascii="宋体" w:hAnsi="宋体" w:cs="宋体"/>
          <w:color w:val="000000"/>
          <w:sz w:val="24"/>
          <w:u w:val="single"/>
        </w:rPr>
      </w:r>
      <w:r/>
    </w:p>
    <w:tbl>
      <w:tblPr>
        <w:tblW w:w="5018"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36"/>
        <w:gridCol w:w="3608"/>
        <w:gridCol w:w="4933"/>
      </w:tblGrid>
      <w:tr>
        <w:trPr>
          <w:trHeight w:val="1185"/>
        </w:trPr>
        <w:tc>
          <w:tcPr>
            <w:tcW w:w="494" w:type="dxa"/>
            <w:vAlign w:val="center"/>
            <w:textDirection w:val="lrTb"/>
            <w:noWrap w:val="false"/>
          </w:tcPr>
          <w:p>
            <w:pPr>
              <w:pStyle w:val="1270"/>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1903" w:type="dxa"/>
            <w:vAlign w:val="center"/>
            <w:textDirection w:val="lrTb"/>
            <w:noWrap w:val="false"/>
          </w:tcPr>
          <w:p>
            <w:pPr>
              <w:pStyle w:val="1270"/>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供应商名称</w:t>
            </w:r>
            <w:r>
              <w:rPr>
                <w:rFonts w:hint="eastAsia" w:ascii="宋体" w:hAnsi="宋体" w:cs="宋体"/>
                <w:b/>
                <w:sz w:val="24"/>
              </w:rPr>
            </w:r>
            <w:r/>
          </w:p>
        </w:tc>
        <w:tc>
          <w:tcPr>
            <w:tcW w:w="2602" w:type="dxa"/>
            <w:vAlign w:val="center"/>
            <w:textDirection w:val="lrTb"/>
            <w:noWrap w:val="false"/>
          </w:tcPr>
          <w:p>
            <w:pPr>
              <w:pStyle w:val="1270"/>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报价</w:t>
            </w:r>
            <w:r>
              <w:rPr>
                <w:rFonts w:hint="eastAsia" w:ascii="宋体" w:hAnsi="宋体" w:cs="宋体"/>
                <w:b/>
                <w:sz w:val="24"/>
              </w:rPr>
            </w:r>
            <w:r/>
          </w:p>
        </w:tc>
      </w:tr>
      <w:tr>
        <w:trPr>
          <w:trHeight w:val="976"/>
        </w:trPr>
        <w:tc>
          <w:tcPr>
            <w:tcW w:w="494" w:type="dxa"/>
            <w:vAlign w:val="center"/>
            <w:textDirection w:val="lrTb"/>
            <w:noWrap w:val="false"/>
          </w:tcPr>
          <w:p>
            <w:pPr>
              <w:pStyle w:val="1270"/>
              <w:jc w:val="center"/>
              <w:spacing w:line="440" w:lineRule="exact"/>
              <w:tabs>
                <w:tab w:val="left" w:pos="5580" w:leader="none"/>
              </w:tabs>
              <w:rPr>
                <w:rFonts w:hint="eastAsia" w:ascii="宋体" w:hAnsi="宋体" w:cs="宋体"/>
                <w:sz w:val="24"/>
              </w:rPr>
            </w:pPr>
            <w:r>
              <w:rPr>
                <w:rFonts w:hint="eastAsia" w:ascii="宋体" w:hAnsi="宋体" w:cs="宋体"/>
                <w:sz w:val="24"/>
              </w:rPr>
            </w:r>
            <w:r/>
          </w:p>
        </w:tc>
        <w:tc>
          <w:tcPr>
            <w:tcW w:w="1903" w:type="dxa"/>
            <w:vAlign w:val="center"/>
            <w:textDirection w:val="lrTb"/>
            <w:noWrap w:val="false"/>
          </w:tcPr>
          <w:p>
            <w:pPr>
              <w:pStyle w:val="1270"/>
              <w:jc w:val="center"/>
              <w:spacing w:line="440" w:lineRule="exact"/>
              <w:tabs>
                <w:tab w:val="left" w:pos="5580" w:leader="none"/>
              </w:tabs>
              <w:rPr>
                <w:rFonts w:hint="eastAsia" w:ascii="宋体" w:hAnsi="宋体" w:cs="宋体"/>
                <w:sz w:val="24"/>
              </w:rPr>
            </w:pPr>
            <w:r>
              <w:rPr>
                <w:rFonts w:hint="eastAsia" w:ascii="宋体" w:hAnsi="宋体" w:cs="宋体"/>
                <w:sz w:val="24"/>
              </w:rPr>
            </w:r>
            <w:r/>
          </w:p>
        </w:tc>
        <w:tc>
          <w:tcPr>
            <w:tcW w:w="2602" w:type="dxa"/>
            <w:vAlign w:val="center"/>
            <w:textDirection w:val="lrTb"/>
            <w:noWrap w:val="false"/>
          </w:tcPr>
          <w:p>
            <w:pPr>
              <w:pStyle w:val="1270"/>
              <w:jc w:val="center"/>
              <w:spacing w:line="440" w:lineRule="exact"/>
              <w:tabs>
                <w:tab w:val="left" w:pos="5580" w:leader="none"/>
              </w:tabs>
              <w:rPr>
                <w:rFonts w:hint="eastAsia" w:ascii="宋体" w:hAnsi="宋体" w:cs="宋体"/>
                <w:sz w:val="24"/>
              </w:rPr>
            </w:pPr>
            <w:r>
              <w:rPr>
                <w:rFonts w:hint="eastAsia" w:ascii="宋体" w:hAnsi="宋体" w:cs="宋体"/>
                <w:sz w:val="24"/>
              </w:rPr>
            </w:r>
            <w:r/>
          </w:p>
        </w:tc>
      </w:tr>
    </w:tbl>
    <w:p>
      <w:pPr>
        <w:pStyle w:val="1270"/>
        <w:jc w:val="left"/>
        <w:spacing w:line="440" w:lineRule="exact"/>
        <w:rPr>
          <w:rFonts w:hint="eastAsia" w:ascii="宋体" w:hAnsi="宋体" w:cs="宋体"/>
          <w:color w:val="000000"/>
          <w:sz w:val="24"/>
        </w:rPr>
      </w:pPr>
      <w:r>
        <w:rPr>
          <w:rFonts w:hint="eastAsia" w:ascii="宋体" w:hAnsi="宋体" w:cs="宋体"/>
          <w:color w:val="000000"/>
          <w:sz w:val="24"/>
        </w:rPr>
      </w:r>
      <w:r/>
    </w:p>
    <w:p>
      <w:pPr>
        <w:pStyle w:val="1270"/>
        <w:jc w:val="left"/>
        <w:spacing w:line="440" w:lineRule="exact"/>
        <w:rPr>
          <w:rFonts w:hint="eastAsia"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.此表中，每包的报价应和《分项报价表》中的总价相一致。</w:t>
      </w:r>
      <w:r>
        <w:rPr>
          <w:rFonts w:hint="eastAsia" w:ascii="宋体" w:hAnsi="宋体" w:cs="宋体"/>
          <w:color w:val="000000"/>
          <w:sz w:val="24"/>
          <w:szCs w:val="20"/>
        </w:rPr>
      </w:r>
      <w:r/>
    </w:p>
    <w:p>
      <w:pPr>
        <w:pStyle w:val="1270"/>
        <w:ind w:firstLine="48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2.本表必须按包分别填写。</w:t>
      </w:r>
      <w:r>
        <w:rPr>
          <w:rFonts w:hint="eastAsia" w:ascii="宋体" w:hAnsi="宋体" w:cs="宋体"/>
          <w:color w:val="000000"/>
          <w:sz w:val="24"/>
          <w:szCs w:val="20"/>
        </w:rPr>
      </w:r>
      <w:r/>
    </w:p>
    <w:p>
      <w:pPr>
        <w:pStyle w:val="1270"/>
        <w:spacing w:line="440" w:lineRule="exact"/>
        <w:rPr>
          <w:rFonts w:hint="eastAsia" w:ascii="宋体" w:hAnsi="宋体" w:cs="宋体"/>
          <w:color w:val="000000"/>
          <w:sz w:val="24"/>
          <w:lang w:val="zh-CN"/>
        </w:rPr>
      </w:pPr>
      <w:r>
        <w:rPr>
          <w:rFonts w:hint="eastAsia" w:ascii="宋体" w:hAnsi="宋体" w:cs="宋体"/>
          <w:color w:val="000000"/>
          <w:sz w:val="24"/>
          <w:lang w:val="zh-CN"/>
        </w:rPr>
      </w:r>
      <w:r/>
    </w:p>
    <w:p>
      <w:pPr>
        <w:pStyle w:val="1270"/>
        <w:spacing w:line="440" w:lineRule="exact"/>
        <w:rPr>
          <w:rFonts w:hint="eastAsia" w:ascii="宋体" w:hAnsi="宋体" w:cs="宋体"/>
          <w:color w:val="000000"/>
          <w:sz w:val="24"/>
          <w:lang w:val="zh-CN"/>
        </w:rPr>
      </w:pPr>
      <w:r>
        <w:rPr>
          <w:rFonts w:hint="eastAsia" w:ascii="宋体" w:hAnsi="宋体" w:cs="宋体"/>
          <w:color w:val="000000"/>
          <w:sz w:val="24"/>
          <w:lang w:val="zh-CN"/>
        </w:rPr>
        <w:t xml:space="preserve">                         </w:t>
      </w:r>
      <w:r>
        <w:rPr>
          <w:rFonts w:hint="eastAsia" w:ascii="宋体" w:hAnsi="宋体" w:cs="宋体"/>
          <w:color w:val="000000"/>
          <w:sz w:val="24"/>
          <w:lang w:val="zh-CN"/>
        </w:rPr>
      </w:r>
      <w:r/>
    </w:p>
    <w:p>
      <w:pPr>
        <w:pStyle w:val="1270"/>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270"/>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270"/>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270"/>
        <w:spacing w:line="440" w:lineRule="exact"/>
        <w:rPr>
          <w:spacing w:val="7"/>
          <w:sz w:val="35"/>
          <w:szCs w:val="35"/>
        </w:rPr>
        <w:outlineLvl w:val="2"/>
      </w:pPr>
      <w:r/>
      <w:bookmarkStart w:id="728" w:name="_Toc150774763"/>
      <w:r/>
      <w:bookmarkStart w:id="729" w:name="_Toc195842924"/>
      <w:r/>
      <w:bookmarkStart w:id="730" w:name="_Toc142311060"/>
      <w:r/>
      <w:bookmarkStart w:id="731" w:name="_Toc226965749"/>
      <w:r/>
      <w:bookmarkStart w:id="732" w:name="_Toc226337255"/>
      <w:r/>
      <w:bookmarkStart w:id="733" w:name="_Toc305158827"/>
      <w:r/>
      <w:bookmarkStart w:id="734" w:name="_Toc226309803"/>
      <w:r/>
      <w:bookmarkStart w:id="735" w:name="_Toc226965832"/>
      <w:r/>
      <w:bookmarkStart w:id="736" w:name="_Toc150480796"/>
      <w:r/>
      <w:bookmarkStart w:id="737" w:name="_Toc305158901"/>
      <w:r/>
      <w:bookmarkStart w:id="738" w:name="_Toc264969249"/>
      <w:r/>
      <w:bookmarkStart w:id="739" w:name="_Toc127151558"/>
      <w:r/>
      <w:bookmarkStart w:id="740" w:name="_Toc265228397"/>
      <w:r>
        <w:rPr>
          <w:spacing w:val="7"/>
          <w:sz w:val="35"/>
          <w:szCs w:val="35"/>
        </w:rPr>
      </w:r>
      <w:r/>
    </w:p>
    <w:p>
      <w:pPr>
        <w:pStyle w:val="1270"/>
        <w:spacing w:line="440" w:lineRule="exact"/>
        <w:rPr>
          <w:spacing w:val="7"/>
          <w:sz w:val="35"/>
          <w:szCs w:val="35"/>
        </w:rPr>
        <w:outlineLvl w:val="2"/>
      </w:pPr>
      <w:r>
        <w:rPr>
          <w:spacing w:val="7"/>
          <w:sz w:val="35"/>
          <w:szCs w:val="35"/>
        </w:rPr>
      </w:r>
      <w:r/>
    </w:p>
    <w:p>
      <w:pPr>
        <w:pStyle w:val="1270"/>
        <w:spacing w:line="440" w:lineRule="exact"/>
        <w:rPr>
          <w:spacing w:val="7"/>
          <w:sz w:val="35"/>
          <w:szCs w:val="35"/>
        </w:rPr>
        <w:outlineLvl w:val="2"/>
      </w:pPr>
      <w:r>
        <w:rPr>
          <w:spacing w:val="7"/>
          <w:sz w:val="35"/>
          <w:szCs w:val="35"/>
        </w:rPr>
      </w:r>
      <w:r/>
    </w:p>
    <w:p>
      <w:pPr>
        <w:pStyle w:val="1270"/>
        <w:spacing w:line="440" w:lineRule="exact"/>
        <w:rPr>
          <w:spacing w:val="7"/>
          <w:sz w:val="35"/>
          <w:szCs w:val="35"/>
        </w:rPr>
        <w:outlineLvl w:val="2"/>
      </w:pPr>
      <w:r>
        <w:rPr>
          <w:spacing w:val="7"/>
          <w:sz w:val="35"/>
          <w:szCs w:val="35"/>
        </w:rPr>
      </w:r>
      <w:r/>
    </w:p>
    <w:p>
      <w:pPr>
        <w:pStyle w:val="1270"/>
        <w:spacing w:line="440" w:lineRule="exact"/>
        <w:rPr>
          <w:spacing w:val="7"/>
          <w:sz w:val="35"/>
          <w:szCs w:val="35"/>
        </w:rPr>
        <w:outlineLvl w:val="2"/>
      </w:pPr>
      <w:r>
        <w:rPr>
          <w:spacing w:val="7"/>
          <w:sz w:val="35"/>
          <w:szCs w:val="35"/>
        </w:rPr>
      </w:r>
      <w:r/>
    </w:p>
    <w:p>
      <w:pPr>
        <w:pStyle w:val="1270"/>
        <w:spacing w:line="440" w:lineRule="exact"/>
        <w:rPr>
          <w:spacing w:val="7"/>
          <w:sz w:val="35"/>
          <w:szCs w:val="35"/>
        </w:rPr>
        <w:outlineLvl w:val="2"/>
      </w:pPr>
      <w:r>
        <w:rPr>
          <w:spacing w:val="7"/>
          <w:sz w:val="35"/>
          <w:szCs w:val="35"/>
        </w:rPr>
      </w:r>
      <w:r/>
    </w:p>
    <w:p>
      <w:pPr>
        <w:pStyle w:val="1270"/>
        <w:spacing w:line="440" w:lineRule="exact"/>
        <w:rPr>
          <w:spacing w:val="7"/>
          <w:sz w:val="35"/>
          <w:szCs w:val="35"/>
        </w:rPr>
        <w:outlineLvl w:val="2"/>
      </w:pPr>
      <w:r>
        <w:rPr>
          <w:spacing w:val="7"/>
          <w:sz w:val="35"/>
          <w:szCs w:val="35"/>
        </w:rPr>
      </w:r>
      <w:r/>
    </w:p>
    <w:p>
      <w:pPr>
        <w:pStyle w:val="1270"/>
        <w:spacing w:line="440" w:lineRule="exact"/>
        <w:rPr>
          <w:spacing w:val="7"/>
          <w:sz w:val="35"/>
          <w:szCs w:val="35"/>
        </w:rPr>
        <w:outlineLvl w:val="2"/>
      </w:pPr>
      <w:r>
        <w:rPr>
          <w:spacing w:val="7"/>
          <w:sz w:val="35"/>
          <w:szCs w:val="35"/>
        </w:rPr>
      </w:r>
      <w:r/>
    </w:p>
    <w:p>
      <w:pPr>
        <w:pStyle w:val="1270"/>
        <w:spacing w:line="440" w:lineRule="exact"/>
        <w:rPr>
          <w:spacing w:val="7"/>
          <w:sz w:val="35"/>
          <w:szCs w:val="35"/>
        </w:rPr>
        <w:outlineLvl w:val="2"/>
      </w:pPr>
      <w:r>
        <w:rPr>
          <w:spacing w:val="7"/>
          <w:sz w:val="35"/>
          <w:szCs w:val="35"/>
        </w:rPr>
      </w:r>
      <w:r/>
    </w:p>
    <w:p>
      <w:pPr>
        <w:pStyle w:val="1270"/>
        <w:spacing w:line="440" w:lineRule="exact"/>
        <w:rPr>
          <w:spacing w:val="7"/>
          <w:sz w:val="35"/>
          <w:szCs w:val="35"/>
        </w:rPr>
        <w:outlineLvl w:val="2"/>
      </w:pPr>
      <w:r>
        <w:rPr>
          <w:spacing w:val="7"/>
          <w:sz w:val="35"/>
          <w:szCs w:val="35"/>
        </w:rPr>
      </w:r>
      <w:r/>
    </w:p>
    <w:p>
      <w:pPr>
        <w:pStyle w:val="1270"/>
        <w:spacing w:line="440" w:lineRule="exact"/>
        <w:rPr>
          <w:spacing w:val="7"/>
          <w:sz w:val="35"/>
          <w:szCs w:val="35"/>
        </w:rPr>
        <w:outlineLvl w:val="2"/>
      </w:pPr>
      <w:r>
        <w:rPr>
          <w:spacing w:val="7"/>
          <w:sz w:val="35"/>
          <w:szCs w:val="35"/>
        </w:rPr>
      </w:r>
      <w:r/>
    </w:p>
    <w:p>
      <w:pPr>
        <w:pStyle w:val="1270"/>
        <w:spacing w:line="440" w:lineRule="exact"/>
        <w:rPr>
          <w:spacing w:val="7"/>
          <w:sz w:val="35"/>
          <w:szCs w:val="35"/>
        </w:rPr>
        <w:outlineLvl w:val="2"/>
      </w:pPr>
      <w:r>
        <w:rPr>
          <w:spacing w:val="7"/>
          <w:sz w:val="35"/>
          <w:szCs w:val="35"/>
        </w:rPr>
      </w:r>
      <w:r/>
    </w:p>
    <w:p>
      <w:pPr>
        <w:pStyle w:val="1270"/>
        <w:spacing w:line="440" w:lineRule="exact"/>
        <w:rPr>
          <w:spacing w:val="7"/>
          <w:sz w:val="35"/>
          <w:szCs w:val="35"/>
        </w:rPr>
        <w:outlineLvl w:val="2"/>
      </w:pPr>
      <w:r>
        <w:rPr>
          <w:spacing w:val="7"/>
          <w:sz w:val="35"/>
          <w:szCs w:val="35"/>
        </w:rPr>
      </w:r>
      <w:r/>
    </w:p>
    <w:p>
      <w:pPr>
        <w:pStyle w:val="1270"/>
        <w:jc w:val="center"/>
        <w:spacing w:line="440" w:lineRule="exact"/>
        <w:rPr>
          <w:rFonts w:hint="eastAsia" w:ascii="宋体" w:hAnsi="宋体" w:cs="宋体"/>
          <w:color w:val="000000"/>
          <w:sz w:val="24"/>
          <w:szCs w:val="20"/>
        </w:rPr>
        <w:outlineLvl w:val="2"/>
      </w:pPr>
      <w:r>
        <w:rPr>
          <w:rFonts w:hint="eastAsia" w:ascii="宋体" w:hAnsi="宋体" w:cs="宋体"/>
          <w:b/>
          <w:color w:val="000000"/>
          <w:sz w:val="28"/>
          <w:szCs w:val="28"/>
        </w:rPr>
        <w:t xml:space="preserve">分项报价表</w:t>
      </w:r>
      <w:r>
        <w:rPr>
          <w:rFonts w:hint="eastAsia" w:ascii="宋体" w:hAnsi="宋体" w:cs="宋体"/>
          <w:color w:val="000000"/>
          <w:sz w:val="24"/>
          <w:szCs w:val="20"/>
        </w:rPr>
      </w:r>
      <w:r/>
    </w:p>
    <w:p>
      <w:pPr>
        <w:pStyle w:val="1270"/>
        <w:ind w:firstLine="240"/>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pStyle w:val="1270"/>
        <w:ind w:firstLine="240"/>
        <w:jc w:val="left"/>
        <w:spacing w:line="440" w:lineRule="exact"/>
        <w:tabs>
          <w:tab w:val="left" w:pos="1800" w:leader="none"/>
          <w:tab w:val="left" w:pos="5580" w:leader="none"/>
        </w:tabs>
        <w:rPr>
          <w:rFonts w:hint="eastAsia" w:ascii="宋体" w:hAnsi="宋体" w:cs="宋体"/>
          <w:color w:val="000000"/>
          <w:sz w:val="24"/>
          <w:szCs w:val="20"/>
        </w:rPr>
      </w:pPr>
      <w:r>
        <w:rPr>
          <w:rFonts w:hint="eastAsia" w:ascii="宋体" w:hAnsi="宋体" w:cs="宋体"/>
          <w:color w:val="000000"/>
          <w:sz w:val="24"/>
        </w:rPr>
        <w:t xml:space="preserve">项目编号/包号：_____________________     项目名称：_______________________</w:t>
      </w:r>
      <w:r>
        <w:rPr>
          <w:rFonts w:hint="eastAsia" w:ascii="宋体" w:hAnsi="宋体" w:cs="宋体"/>
          <w:color w:val="000000"/>
          <w:sz w:val="24"/>
          <w:szCs w:val="20"/>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270"/>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270"/>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270"/>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270"/>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270"/>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270"/>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270"/>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270"/>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270"/>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270"/>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270"/>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270"/>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270"/>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270"/>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270"/>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270"/>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270"/>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270"/>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270"/>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270"/>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1270"/>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270"/>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1270"/>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270"/>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270"/>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270"/>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1270"/>
              <w:jc w:val="center"/>
              <w:spacing w:line="360" w:lineRule="auto"/>
              <w:widowControl/>
              <w:rPr>
                <w:rFonts w:ascii="宋体" w:hAnsi="宋体" w:cs="Arial"/>
                <w:sz w:val="24"/>
              </w:rPr>
            </w:pPr>
            <w:r>
              <w:rPr>
                <w:rFonts w:ascii="宋体" w:hAnsi="宋体" w:cs="Arial"/>
                <w:sz w:val="24"/>
              </w:rPr>
            </w:r>
            <w:r/>
          </w:p>
        </w:tc>
      </w:tr>
    </w:tbl>
    <w:p>
      <w:pPr>
        <w:pStyle w:val="1270"/>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270"/>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270"/>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日期：_____年______月______日</w:t>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Start w:id="741" w:name="_Toc195842927"/>
      <w:r/>
      <w:bookmarkStart w:id="742" w:name="_Toc226965752"/>
      <w:r/>
      <w:bookmarkStart w:id="743" w:name="_Toc150480798"/>
      <w:r/>
      <w:bookmarkStart w:id="744" w:name="_Toc127151562"/>
      <w:r/>
      <w:bookmarkStart w:id="745" w:name="_Toc226309806"/>
      <w:r/>
      <w:bookmarkStart w:id="746" w:name="_Toc264969252"/>
      <w:r/>
      <w:bookmarkStart w:id="747" w:name="_Toc226337258"/>
      <w:r/>
      <w:bookmarkStart w:id="748" w:name="_Toc305158830"/>
      <w:r/>
      <w:bookmarkStart w:id="749" w:name="_Toc265228400"/>
      <w:r/>
      <w:bookmarkStart w:id="750" w:name="_Toc142311062"/>
      <w:r/>
      <w:bookmarkStart w:id="751" w:name="_Toc226965835"/>
      <w:r/>
      <w:bookmarkStart w:id="752" w:name="_Toc150774765"/>
      <w:r/>
      <w:bookmarkStart w:id="753" w:name="_Toc305158904"/>
      <w:r/>
      <w:bookmarkStart w:id="754" w:name="_Toc226965834"/>
      <w:r/>
      <w:bookmarkStart w:id="755" w:name="_Toc150774764"/>
      <w:r/>
      <w:bookmarkStart w:id="756" w:name="_Toc226965751"/>
      <w:r/>
      <w:bookmarkStart w:id="757" w:name="_Toc127151561"/>
      <w:r/>
      <w:bookmarkStart w:id="758" w:name="_Toc226337257"/>
      <w:r/>
      <w:bookmarkStart w:id="759" w:name="_Toc305158829"/>
      <w:r/>
      <w:bookmarkStart w:id="760" w:name="_Toc305158903"/>
      <w:r/>
      <w:bookmarkStart w:id="761" w:name="_Toc226309805"/>
      <w:r/>
      <w:bookmarkStart w:id="762" w:name="_Toc195842926"/>
      <w:r/>
      <w:bookmarkStart w:id="763" w:name="_Toc150480797"/>
      <w:r/>
      <w:bookmarkStart w:id="764" w:name="_Toc264969251"/>
      <w:r/>
      <w:bookmarkStart w:id="765" w:name="_Toc265228399"/>
      <w:r/>
      <w:bookmarkStart w:id="766" w:name="_Toc142311061"/>
      <w:r>
        <w:rPr>
          <w:rFonts w:hint="eastAsia" w:ascii="宋体" w:hAnsi="宋体" w:cs="宋体"/>
          <w:color w:val="000000"/>
          <w:sz w:val="24"/>
          <w:szCs w:val="20"/>
        </w:rPr>
      </w:r>
      <w:r/>
    </w:p>
    <w:p>
      <w:pPr>
        <w:pStyle w:val="127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270"/>
        <w:spacing w:line="440" w:lineRule="exact"/>
        <w:tabs>
          <w:tab w:val="left" w:pos="5580" w:leader="none"/>
        </w:tabs>
        <w:rPr>
          <w:rFonts w:hint="eastAsia" w:ascii="宋体" w:hAnsi="宋体" w:cs="宋体"/>
          <w:color w:val="000000"/>
          <w:sz w:val="24"/>
          <w:szCs w:val="20"/>
        </w:rPr>
        <w:sectPr>
          <w:headerReference w:type="even" r:id="rId14"/>
          <w:headerReference w:type="first" r:id="rId15"/>
          <w:footerReference w:type="even" r:id="rId25"/>
          <w:footerReference w:type="first" r:id="rId26"/>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color w:val="000000"/>
          <w:sz w:val="24"/>
          <w:szCs w:val="20"/>
        </w:rPr>
      </w:r>
      <w:r/>
    </w:p>
    <w:p>
      <w:pPr>
        <w:pStyle w:val="127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6、合同条款偏离表</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rPr>
          <w:rFonts w:hint="eastAsia" w:ascii="宋体" w:hAnsi="宋体" w:cs="宋体"/>
          <w:color w:val="000000"/>
          <w:sz w:val="24"/>
          <w:szCs w:val="20"/>
        </w:rPr>
      </w:r>
      <w:r/>
    </w:p>
    <w:p>
      <w:pPr>
        <w:pStyle w:val="1281"/>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合同条款偏离表</w:t>
      </w:r>
      <w:r>
        <w:rPr>
          <w:rFonts w:hint="eastAsia" w:hAnsi="宋体" w:eastAsia="宋体" w:cs="宋体"/>
          <w:b/>
          <w:color w:val="000000"/>
          <w:sz w:val="28"/>
          <w:szCs w:val="28"/>
        </w:rPr>
      </w:r>
      <w:r/>
    </w:p>
    <w:p>
      <w:pPr>
        <w:pStyle w:val="1270"/>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270"/>
        <w:ind w:firstLine="360"/>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项目编号/包号：_______________     项目名称：_____________________</w:t>
      </w:r>
      <w:r>
        <w:rPr>
          <w:rFonts w:hint="eastAsia" w:ascii="宋体" w:hAnsi="宋体" w:cs="宋体"/>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1065"/>
        <w:gridCol w:w="1066"/>
        <w:gridCol w:w="1305"/>
        <w:gridCol w:w="5061"/>
      </w:tblGrid>
      <w:tr>
        <w:trPr>
          <w:trHeight w:val="930"/>
        </w:trPr>
        <w:tc>
          <w:tcPr>
            <w:gridSpan w:val="6"/>
            <w:tcW w:w="9649" w:type="dxa"/>
            <w:vAlign w:val="center"/>
            <w:textDirection w:val="lrTb"/>
            <w:noWrap w:val="false"/>
          </w:tcPr>
          <w:p>
            <w:pPr>
              <w:pStyle w:val="1270"/>
              <w:jc w:val="left"/>
              <w:spacing w:line="440" w:lineRule="exact"/>
              <w:rPr>
                <w:rFonts w:hint="eastAsia" w:ascii="宋体" w:hAnsi="宋体" w:cs="宋体"/>
                <w:b/>
                <w:color w:val="000000"/>
                <w:sz w:val="24"/>
              </w:rPr>
            </w:pPr>
            <w:r>
              <w:rPr>
                <w:rFonts w:hint="eastAsia" w:ascii="宋体" w:hAnsi="宋体" w:cs="宋体"/>
                <w:b/>
                <w:color w:val="000000"/>
                <w:sz w:val="24"/>
              </w:rPr>
              <w:t xml:space="preserve">对本项目合同条款的偏离情况（请进行勾选）：</w:t>
            </w:r>
            <w:r>
              <w:rPr>
                <w:rFonts w:hint="eastAsia" w:ascii="宋体" w:hAnsi="宋体" w:cs="宋体"/>
                <w:b/>
                <w:color w:val="000000"/>
                <w:sz w:val="24"/>
              </w:rPr>
            </w:r>
            <w:r/>
          </w:p>
          <w:p>
            <w:pPr>
              <w:pStyle w:val="1270"/>
              <w:jc w:val="left"/>
              <w:spacing w:line="440" w:lineRule="exact"/>
              <w:rPr>
                <w:rFonts w:hint="eastAsia"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rPr>
                <w:rFonts w:hint="eastAsia" w:ascii="宋体" w:hAnsi="宋体" w:cs="宋体"/>
                <w:b/>
                <w:color w:val="000000"/>
                <w:sz w:val="24"/>
              </w:rPr>
            </w:r>
            <w:r/>
          </w:p>
          <w:p>
            <w:pPr>
              <w:pStyle w:val="1270"/>
              <w:jc w:val="left"/>
              <w:spacing w:line="440" w:lineRule="exact"/>
              <w:rPr>
                <w:rFonts w:hint="eastAsia"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如有负偏离，</w:t>
            </w:r>
            <w:r>
              <w:rPr>
                <w:rFonts w:hint="eastAsia" w:ascii="宋体" w:hAnsi="宋体" w:cs="宋体"/>
                <w:color w:val="000000"/>
                <w:sz w:val="24"/>
              </w:rPr>
              <w:t xml:space="preserve">则须在本表中对负偏离项逐一列明）</w:t>
            </w:r>
            <w:r>
              <w:rPr>
                <w:rFonts w:hint="eastAsia" w:ascii="宋体" w:hAnsi="宋体" w:cs="宋体"/>
                <w:color w:val="000000"/>
                <w:sz w:val="24"/>
              </w:rPr>
            </w:r>
            <w:r/>
          </w:p>
        </w:tc>
      </w:tr>
      <w:tr>
        <w:trPr>
          <w:trHeight w:val="930"/>
        </w:trPr>
        <w:tc>
          <w:tcPr>
            <w:tcW w:w="443"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692"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磋商文件</w:t>
            </w:r>
            <w:r>
              <w:rPr>
                <w:rFonts w:hint="eastAsia" w:ascii="宋体" w:hAnsi="宋体" w:cs="宋体"/>
                <w:color w:val="000000"/>
                <w:sz w:val="24"/>
              </w:rPr>
              <w:t xml:space="preserve">条目号（页码）</w:t>
            </w:r>
            <w:r>
              <w:rPr>
                <w:rFonts w:hint="eastAsia" w:ascii="宋体" w:hAnsi="宋体" w:cs="宋体"/>
                <w:color w:val="000000"/>
                <w:sz w:val="24"/>
              </w:rPr>
            </w:r>
            <w:r/>
          </w:p>
        </w:tc>
        <w:tc>
          <w:tcPr>
            <w:tcW w:w="1067"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磋商文件</w:t>
            </w:r>
            <w:r>
              <w:rPr>
                <w:rFonts w:hint="eastAsia" w:ascii="宋体" w:hAnsi="宋体" w:cs="宋体"/>
                <w:color w:val="000000"/>
                <w:sz w:val="24"/>
              </w:rPr>
              <w:t xml:space="preserve">要求</w:t>
            </w:r>
            <w:r>
              <w:rPr>
                <w:rFonts w:hint="eastAsia" w:ascii="宋体" w:hAnsi="宋体" w:cs="宋体"/>
                <w:color w:val="000000"/>
                <w:sz w:val="24"/>
              </w:rPr>
            </w:r>
            <w:r/>
          </w:p>
        </w:tc>
        <w:tc>
          <w:tcPr>
            <w:tcW w:w="1068"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响应文件内容</w:t>
            </w:r>
            <w:r>
              <w:rPr>
                <w:rFonts w:hint="eastAsia" w:ascii="宋体" w:hAnsi="宋体" w:cs="宋体"/>
                <w:color w:val="000000"/>
                <w:sz w:val="24"/>
              </w:rPr>
            </w:r>
            <w:r/>
          </w:p>
        </w:tc>
        <w:tc>
          <w:tcPr>
            <w:tcW w:w="1307"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偏离情况</w:t>
            </w:r>
            <w:r>
              <w:rPr>
                <w:rFonts w:hint="eastAsia" w:ascii="宋体" w:hAnsi="宋体" w:cs="宋体"/>
                <w:color w:val="000000"/>
                <w:sz w:val="24"/>
              </w:rPr>
            </w:r>
            <w:r/>
          </w:p>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（据实填写）</w:t>
            </w:r>
            <w:r>
              <w:rPr>
                <w:rFonts w:hint="eastAsia" w:ascii="宋体" w:hAnsi="宋体" w:cs="宋体"/>
                <w:color w:val="000000"/>
                <w:sz w:val="24"/>
              </w:rPr>
            </w:r>
            <w:r/>
          </w:p>
        </w:tc>
        <w:tc>
          <w:tcPr>
            <w:tcW w:w="420"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tc>
      </w:tr>
      <w:tr>
        <w:trPr>
          <w:trHeight w:val="930"/>
        </w:trPr>
        <w:tc>
          <w:tcPr>
            <w:tcW w:w="443"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443"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443"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443"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r>
    </w:tbl>
    <w:p>
      <w:pPr>
        <w:pStyle w:val="1270"/>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rPr>
      </w:r>
      <w:r/>
    </w:p>
    <w:p>
      <w:pPr>
        <w:pStyle w:val="1270"/>
        <w:jc w:val="left"/>
        <w:spacing w:line="440" w:lineRule="exact"/>
        <w:tabs>
          <w:tab w:val="left" w:pos="1800" w:leader="none"/>
          <w:tab w:val="left" w:pos="5580" w:leader="none"/>
        </w:tabs>
        <w:rPr>
          <w:rFonts w:hint="eastAsia"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对合同条款中的所有要求，除本表所列明的所有偏离外，均视作供应商已对之理解和响应。</w:t>
      </w:r>
      <w:r>
        <w:rPr>
          <w:rFonts w:hint="eastAsia" w:ascii="宋体" w:hAnsi="宋体" w:cs="宋体"/>
          <w:sz w:val="24"/>
        </w:rPr>
      </w:r>
      <w:r/>
    </w:p>
    <w:p>
      <w:pPr>
        <w:pStyle w:val="1270"/>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sz w:val="24"/>
        </w:rPr>
        <w:t xml:space="preserve">2. “偏离情况”列应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rPr>
          <w:rFonts w:hint="eastAsia" w:ascii="宋体" w:hAnsi="宋体" w:cs="宋体"/>
          <w:color w:val="000000"/>
          <w:sz w:val="24"/>
        </w:rPr>
      </w:r>
      <w:r/>
    </w:p>
    <w:p>
      <w:pPr>
        <w:pStyle w:val="1270"/>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270"/>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270"/>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270"/>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br w:type="page" w:clear="all"/>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rPr>
          <w:rFonts w:hint="eastAsia" w:ascii="宋体" w:hAnsi="宋体" w:cs="宋体"/>
          <w:color w:val="000000"/>
          <w:sz w:val="24"/>
          <w:szCs w:val="20"/>
        </w:rPr>
        <w:t xml:space="preserve">7、采购需求偏离表</w:t>
      </w:r>
      <w:r>
        <w:rPr>
          <w:rFonts w:hint="eastAsia" w:ascii="宋体" w:hAnsi="宋体" w:cs="宋体"/>
          <w:color w:val="000000"/>
          <w:sz w:val="24"/>
          <w:szCs w:val="20"/>
        </w:rPr>
      </w:r>
      <w:r/>
    </w:p>
    <w:p>
      <w:pPr>
        <w:pStyle w:val="1281"/>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采购需求偏离表</w:t>
      </w:r>
      <w:r>
        <w:rPr>
          <w:rFonts w:hint="eastAsia" w:hAnsi="宋体" w:eastAsia="宋体" w:cs="宋体"/>
          <w:b/>
          <w:color w:val="000000"/>
          <w:sz w:val="28"/>
          <w:szCs w:val="28"/>
        </w:rPr>
      </w:r>
      <w:r/>
    </w:p>
    <w:p>
      <w:pPr>
        <w:pStyle w:val="1281"/>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pStyle w:val="1270"/>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rPr>
        <w:t xml:space="preserve">项目编号/包号：_____________________     项目名称：_______________________</w:t>
      </w:r>
      <w:r>
        <w:rPr>
          <w:rFonts w:hint="eastAsia" w:ascii="宋体" w:hAnsi="宋体" w:cs="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1482"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磋商文件条目号(页码)</w:t>
            </w:r>
            <w:r>
              <w:rPr>
                <w:rFonts w:hint="eastAsia" w:ascii="宋体" w:hAnsi="宋体" w:cs="宋体"/>
                <w:color w:val="000000"/>
                <w:sz w:val="24"/>
              </w:rPr>
            </w:r>
            <w:r/>
          </w:p>
        </w:tc>
        <w:tc>
          <w:tcPr>
            <w:tcW w:w="2384"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磋商文件要求</w:t>
            </w:r>
            <w:r>
              <w:rPr>
                <w:rFonts w:hint="eastAsia" w:ascii="宋体" w:hAnsi="宋体" w:cs="宋体"/>
                <w:color w:val="000000"/>
                <w:sz w:val="24"/>
              </w:rPr>
            </w:r>
            <w:r/>
          </w:p>
        </w:tc>
        <w:tc>
          <w:tcPr>
            <w:tcW w:w="2126"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响应内容</w:t>
            </w:r>
            <w:r>
              <w:rPr>
                <w:rFonts w:hint="eastAsia" w:ascii="宋体" w:hAnsi="宋体" w:cs="宋体"/>
                <w:color w:val="000000"/>
                <w:sz w:val="24"/>
              </w:rPr>
            </w:r>
            <w:r/>
          </w:p>
        </w:tc>
        <w:tc>
          <w:tcPr>
            <w:tcW w:w="1875"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偏离情况</w:t>
            </w:r>
            <w:r>
              <w:rPr>
                <w:rFonts w:hint="eastAsia" w:ascii="宋体" w:hAnsi="宋体" w:cs="宋体"/>
                <w:color w:val="000000"/>
                <w:sz w:val="24"/>
              </w:rPr>
            </w:r>
            <w:r/>
          </w:p>
          <w:p>
            <w:pPr>
              <w:pStyle w:val="1270"/>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（据实填写）</w:t>
            </w:r>
            <w:r>
              <w:rPr>
                <w:rFonts w:hint="eastAsia" w:ascii="宋体" w:hAnsi="宋体" w:cs="宋体"/>
                <w:color w:val="000000"/>
                <w:sz w:val="24"/>
              </w:rPr>
            </w:r>
            <w:r/>
          </w:p>
        </w:tc>
        <w:tc>
          <w:tcPr>
            <w:tcW w:w="1009"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tc>
      </w:tr>
      <w:tr>
        <w:trPr>
          <w:trHeight w:val="930"/>
        </w:trPr>
        <w:tc>
          <w:tcPr>
            <w:tcW w:w="775"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270"/>
              <w:jc w:val="center"/>
              <w:spacing w:line="440" w:lineRule="exact"/>
              <w:rPr>
                <w:rFonts w:hint="eastAsia" w:ascii="宋体" w:hAnsi="宋体" w:cs="宋体"/>
                <w:color w:val="000000"/>
                <w:sz w:val="24"/>
              </w:rPr>
            </w:pPr>
            <w:r>
              <w:rPr>
                <w:rFonts w:hint="eastAsia" w:ascii="宋体" w:hAnsi="宋体" w:cs="宋体"/>
                <w:color w:val="000000"/>
                <w:sz w:val="24"/>
              </w:rPr>
            </w:r>
            <w:r/>
          </w:p>
        </w:tc>
      </w:tr>
    </w:tbl>
    <w:p>
      <w:pPr>
        <w:pStyle w:val="1270"/>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u w:val="single"/>
        </w:rPr>
      </w:r>
      <w:r/>
    </w:p>
    <w:p>
      <w:pPr>
        <w:pStyle w:val="1270"/>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u w:val="single"/>
        </w:rPr>
      </w:r>
      <w:r/>
    </w:p>
    <w:p>
      <w:pPr>
        <w:pStyle w:val="1270"/>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rPr>
      </w:r>
      <w:r/>
    </w:p>
    <w:p>
      <w:pPr>
        <w:pStyle w:val="1270"/>
        <w:jc w:val="left"/>
        <w:spacing w:line="440" w:lineRule="exact"/>
        <w:tabs>
          <w:tab w:val="left" w:pos="1800" w:leader="none"/>
          <w:tab w:val="left" w:pos="5580" w:leader="none"/>
        </w:tabs>
        <w:rPr>
          <w:rFonts w:hint="eastAsia"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对磋商文件中的所有商务、技术要求，除本表所列明的所有偏离外，均视作供应商已对之理解和响应。此表中若无任何文字说明，内容为空白，则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270"/>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rPr>
          <w:rFonts w:hint="eastAsia" w:ascii="宋体" w:hAnsi="宋体" w:cs="宋体"/>
          <w:color w:val="000000"/>
          <w:sz w:val="24"/>
        </w:rPr>
      </w:r>
      <w:r/>
    </w:p>
    <w:p>
      <w:pPr>
        <w:pStyle w:val="1270"/>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pStyle w:val="1270"/>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270"/>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270"/>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8、中小企业声明函</w:t>
      </w:r>
      <w:r>
        <w:rPr>
          <w:rFonts w:hint="eastAsia" w:ascii="宋体" w:hAnsi="宋体" w:cs="宋体"/>
          <w:color w:val="000000"/>
          <w:sz w:val="24"/>
          <w:szCs w:val="20"/>
        </w:rPr>
      </w:r>
      <w:r/>
    </w:p>
    <w:p>
      <w:pPr>
        <w:pStyle w:val="1270"/>
        <w:spacing w:line="440" w:lineRule="exact"/>
        <w:tabs>
          <w:tab w:val="left" w:pos="5580" w:leader="none"/>
        </w:tabs>
        <w:rPr>
          <w:rFonts w:hint="eastAsia" w:ascii="宋体" w:hAnsi="宋体" w:cs="宋体"/>
          <w:sz w:val="24"/>
        </w:rPr>
      </w:pPr>
      <w:r>
        <w:rPr>
          <w:rFonts w:hint="eastAsia" w:ascii="宋体" w:hAnsi="宋体" w:cs="宋体"/>
          <w:sz w:val="24"/>
        </w:rPr>
        <w:t xml:space="preserve">说明：</w:t>
      </w:r>
      <w:r>
        <w:rPr>
          <w:rFonts w:hint="eastAsia" w:ascii="宋体" w:hAnsi="宋体" w:cs="宋体"/>
          <w:sz w:val="24"/>
        </w:rPr>
      </w:r>
      <w:r/>
    </w:p>
    <w:p>
      <w:pPr>
        <w:pStyle w:val="1270"/>
        <w:spacing w:line="440" w:lineRule="exact"/>
        <w:tabs>
          <w:tab w:val="left" w:pos="5580" w:leader="none"/>
        </w:tabs>
        <w:rPr>
          <w:rFonts w:hint="eastAsia" w:ascii="宋体" w:hAnsi="宋体" w:cs="宋体"/>
          <w:sz w:val="24"/>
        </w:rPr>
      </w:pPr>
      <w:r>
        <w:rPr>
          <w:rFonts w:hint="eastAsia" w:ascii="宋体" w:hAnsi="宋体" w:cs="宋体"/>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hint="eastAsia" w:ascii="宋体" w:hAnsi="宋体" w:cs="宋体"/>
          <w:sz w:val="24"/>
        </w:rPr>
      </w:r>
      <w:r/>
    </w:p>
    <w:p>
      <w:pPr>
        <w:pStyle w:val="1270"/>
        <w:spacing w:line="440" w:lineRule="exact"/>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sz w:val="24"/>
        </w:rPr>
      </w:r>
      <w:r/>
    </w:p>
    <w:p>
      <w:pPr>
        <w:pStyle w:val="1270"/>
        <w:spacing w:line="440" w:lineRule="exact"/>
        <w:tabs>
          <w:tab w:val="left" w:pos="5580" w:leader="none"/>
        </w:tabs>
        <w:rPr>
          <w:rFonts w:hint="eastAsia" w:ascii="宋体" w:hAnsi="宋体" w:cs="宋体"/>
          <w:sz w:val="24"/>
        </w:rPr>
      </w:pPr>
      <w:r>
        <w:rPr>
          <w:rFonts w:hint="eastAsia" w:ascii="宋体" w:hAnsi="宋体" w:cs="宋体"/>
          <w:sz w:val="24"/>
        </w:rPr>
        <w:t xml:space="preserve">3）对于多标的的采购项目，供应商应充分、准确地了解所投产品制造企业信息。对相关情况了解不清楚的，不建议填报本声明函。</w:t>
      </w:r>
      <w:r>
        <w:rPr>
          <w:rFonts w:hint="eastAsia" w:ascii="宋体" w:hAnsi="宋体" w:cs="宋体"/>
          <w:sz w:val="24"/>
        </w:rPr>
      </w:r>
      <w:r/>
    </w:p>
    <w:p>
      <w:pPr>
        <w:pStyle w:val="1270"/>
        <w:spacing w:line="440" w:lineRule="exact"/>
        <w:tabs>
          <w:tab w:val="left" w:pos="5580" w:leader="none"/>
        </w:tabs>
        <w:rPr>
          <w:rFonts w:hint="eastAsia" w:ascii="宋体" w:hAnsi="宋体" w:cs="宋体"/>
          <w:sz w:val="24"/>
        </w:rPr>
      </w:pPr>
      <w:r>
        <w:rPr>
          <w:rFonts w:hint="eastAsia" w:ascii="宋体" w:hAnsi="宋体" w:cs="宋体"/>
          <w:sz w:val="24"/>
        </w:rPr>
        <w:t xml:space="preserve">4）中小企业认定标准以《关于印发中小企业划型标准规定的通知》（工信部联企业〔2011〕300号）文件规定为准。</w:t>
      </w:r>
      <w:r>
        <w:rPr>
          <w:rFonts w:hint="eastAsia" w:ascii="宋体" w:hAnsi="宋体" w:cs="宋体"/>
          <w:sz w:val="24"/>
        </w:rPr>
      </w:r>
      <w:r/>
    </w:p>
    <w:p>
      <w:pPr>
        <w:pStyle w:val="1270"/>
        <w:spacing w:line="440" w:lineRule="exact"/>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宋体" w:hAnsi="宋体" w:cs="宋体"/>
          <w:sz w:val="24"/>
        </w:rPr>
        <w:fldChar w:fldCharType="begin"/>
      </w:r>
      <w:r>
        <w:rPr>
          <w:rFonts w:hint="eastAsia" w:ascii="宋体" w:hAnsi="宋体" w:cs="宋体"/>
          <w:sz w:val="24"/>
        </w:rPr>
        <w:instrText xml:space="preserve"> HYPERLINK "http://202.106.120.146/baosong/appweb/orgScale.html" </w:instrText>
      </w:r>
      <w:r>
        <w:rPr>
          <w:rFonts w:hint="eastAsia" w:ascii="宋体" w:hAnsi="宋体" w:cs="宋体"/>
          <w:sz w:val="24"/>
        </w:rPr>
        <w:fldChar w:fldCharType="separate"/>
      </w:r>
      <w:r>
        <w:rPr>
          <w:rStyle w:val="1536"/>
          <w:rFonts w:hint="eastAsia" w:ascii="宋体" w:hAnsi="宋体" w:cs="宋体"/>
          <w:color w:val="000000"/>
          <w:sz w:val="24"/>
        </w:rPr>
        <w:t xml:space="preserve">http://202.106.120.146/baosong/appweb/orgScale.html</w:t>
      </w:r>
      <w:r>
        <w:rPr>
          <w:rFonts w:hint="eastAsia" w:ascii="宋体" w:hAnsi="宋体" w:cs="宋体"/>
          <w:sz w:val="24"/>
        </w:rPr>
        <w:fldChar w:fldCharType="end"/>
      </w:r>
      <w:r>
        <w:rPr>
          <w:rFonts w:hint="eastAsia" w:ascii="宋体" w:hAnsi="宋体" w:cs="宋体"/>
          <w:sz w:val="24"/>
        </w:rPr>
        <w:t xml:space="preserve">）</w:t>
      </w:r>
      <w:r>
        <w:rPr>
          <w:rFonts w:hint="eastAsia" w:ascii="宋体" w:hAnsi="宋体" w:cs="宋体"/>
          <w:sz w:val="24"/>
        </w:rPr>
      </w:r>
      <w:r/>
    </w:p>
    <w:p>
      <w:pPr>
        <w:pStyle w:val="1270"/>
        <w:spacing w:line="440" w:lineRule="exact"/>
        <w:tabs>
          <w:tab w:val="left" w:pos="5580" w:leader="none"/>
        </w:tabs>
        <w:rPr>
          <w:rFonts w:hint="eastAsia" w:ascii="宋体" w:hAnsi="宋体" w:cs="宋体"/>
          <w:b/>
          <w:sz w:val="24"/>
        </w:rPr>
      </w:pPr>
      <w:r>
        <w:rPr>
          <w:rFonts w:hint="eastAsia" w:ascii="宋体" w:hAnsi="宋体" w:cs="宋体"/>
          <w:sz w:val="24"/>
        </w:rPr>
        <w:t xml:space="preserve">6）</w:t>
      </w:r>
      <w:r>
        <w:rPr>
          <w:rFonts w:hint="eastAsia" w:ascii="宋体" w:hAnsi="宋体" w:cs="宋体"/>
          <w:b/>
          <w:sz w:val="24"/>
        </w:rPr>
        <w:t xml:space="preserve">在货物采购项目中，供应商提供的货物既有中型企业制造货物，也有小微企业制造货物的，不享受小微企业扶持政策，不予价格扣除。</w:t>
      </w:r>
      <w:r>
        <w:rPr>
          <w:rFonts w:hint="eastAsia" w:ascii="宋体" w:hAnsi="宋体" w:cs="宋体"/>
          <w:b/>
          <w:sz w:val="24"/>
        </w:rPr>
      </w:r>
      <w:r/>
    </w:p>
    <w:p>
      <w:pPr>
        <w:pStyle w:val="1270"/>
        <w:spacing w:line="440" w:lineRule="exact"/>
        <w:tabs>
          <w:tab w:val="left" w:pos="5580" w:leader="none"/>
        </w:tabs>
        <w:rPr>
          <w:rFonts w:hint="eastAsia" w:ascii="宋体" w:hAnsi="宋体" w:cs="宋体"/>
          <w:b/>
          <w:sz w:val="24"/>
        </w:rPr>
      </w:pPr>
      <w:r>
        <w:rPr>
          <w:rFonts w:hint="eastAsia" w:ascii="宋体" w:hAnsi="宋体" w:cs="宋体"/>
          <w:b/>
          <w:sz w:val="24"/>
        </w:rPr>
        <w:t xml:space="preserve">7）小微企业未提供声明函的，价格分评审将不予价格扣除。</w:t>
      </w:r>
      <w:r>
        <w:rPr>
          <w:rFonts w:hint="eastAsia" w:ascii="宋体" w:hAnsi="宋体" w:cs="宋体"/>
          <w:b/>
          <w:sz w:val="24"/>
        </w:rPr>
      </w:r>
      <w:r/>
    </w:p>
    <w:p>
      <w:pPr>
        <w:pStyle w:val="1270"/>
        <w:jc w:val="center"/>
        <w:spacing w:line="440" w:lineRule="exact"/>
        <w:rPr>
          <w:rFonts w:hint="eastAsia" w:ascii="宋体" w:hAnsi="宋体" w:cs="宋体"/>
          <w:b/>
          <w:color w:val="000000"/>
          <w:sz w:val="28"/>
          <w:szCs w:val="28"/>
        </w:rPr>
      </w:pPr>
      <w:r>
        <w:rPr>
          <w:rFonts w:hint="eastAsia" w:ascii="宋体" w:hAnsi="宋体" w:cs="宋体"/>
          <w:b/>
          <w:bCs/>
          <w:color w:val="000000"/>
          <w:sz w:val="24"/>
        </w:rPr>
        <w:br w:type="page" w:clear="all"/>
      </w:r>
      <w:r>
        <w:rPr>
          <w:rFonts w:hint="eastAsia" w:ascii="宋体" w:hAnsi="宋体" w:cs="宋体"/>
          <w:b/>
          <w:color w:val="000000"/>
          <w:sz w:val="28"/>
          <w:szCs w:val="28"/>
        </w:rPr>
        <w:t xml:space="preserve">中小企业声明函（服务）格式</w:t>
      </w:r>
      <w:r>
        <w:rPr>
          <w:rFonts w:hint="eastAsia" w:ascii="宋体" w:hAnsi="宋体" w:cs="宋体"/>
          <w:b/>
          <w:color w:val="000000"/>
          <w:sz w:val="28"/>
          <w:szCs w:val="28"/>
        </w:rPr>
      </w:r>
      <w:r/>
    </w:p>
    <w:p>
      <w:pPr>
        <w:pStyle w:val="1270"/>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1270"/>
        <w:ind w:firstLine="504"/>
        <w:spacing w:line="440" w:lineRule="exact"/>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pacing w:val="6"/>
          <w:sz w:val="24"/>
        </w:rPr>
      </w:r>
      <w:r/>
    </w:p>
    <w:p>
      <w:pPr>
        <w:pStyle w:val="1270"/>
        <w:ind w:firstLine="504"/>
        <w:spacing w:line="440" w:lineRule="exact"/>
        <w:rPr>
          <w:rFonts w:hint="eastAsia"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，属于（中型企业、小型企业、微型企业）；</w:t>
      </w:r>
      <w:r>
        <w:rPr>
          <w:rFonts w:hint="eastAsia" w:ascii="宋体" w:hAnsi="宋体" w:cs="宋体"/>
          <w:spacing w:val="6"/>
          <w:sz w:val="24"/>
        </w:rPr>
      </w:r>
      <w:r/>
    </w:p>
    <w:p>
      <w:pPr>
        <w:pStyle w:val="1270"/>
        <w:ind w:firstLine="504"/>
        <w:spacing w:line="440" w:lineRule="exact"/>
        <w:rPr>
          <w:rFonts w:hint="eastAsia"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rPr>
          <w:rFonts w:hint="eastAsia" w:ascii="宋体" w:hAnsi="宋体" w:cs="宋体"/>
          <w:spacing w:val="6"/>
          <w:sz w:val="24"/>
        </w:rPr>
      </w:r>
      <w:r/>
    </w:p>
    <w:p>
      <w:pPr>
        <w:pStyle w:val="1270"/>
        <w:ind w:firstLine="504"/>
        <w:spacing w:line="440" w:lineRule="exact"/>
        <w:rPr>
          <w:rFonts w:hint="eastAsia" w:ascii="宋体" w:hAnsi="宋体" w:cs="宋体"/>
          <w:spacing w:val="6"/>
          <w:sz w:val="24"/>
        </w:rPr>
      </w:pPr>
      <w:r>
        <w:rPr>
          <w:rFonts w:hint="eastAsia" w:ascii="宋体" w:hAnsi="宋体" w:cs="宋体"/>
          <w:spacing w:val="6"/>
          <w:sz w:val="24"/>
        </w:rPr>
      </w:r>
      <w:r/>
    </w:p>
    <w:p>
      <w:pPr>
        <w:pStyle w:val="1270"/>
        <w:ind w:firstLine="504"/>
        <w:spacing w:line="440" w:lineRule="exact"/>
        <w:rPr>
          <w:rFonts w:hint="eastAsia" w:ascii="宋体" w:hAnsi="宋体" w:cs="宋体"/>
          <w:spacing w:val="6"/>
          <w:sz w:val="24"/>
        </w:rPr>
      </w:pPr>
      <w:r>
        <w:rPr>
          <w:rFonts w:hint="eastAsia" w:ascii="宋体" w:hAnsi="宋体" w:cs="宋体"/>
          <w:spacing w:val="6"/>
          <w:sz w:val="24"/>
        </w:rPr>
        <w:t xml:space="preserve">……</w:t>
      </w:r>
      <w:r>
        <w:rPr>
          <w:rFonts w:hint="eastAsia" w:ascii="宋体" w:hAnsi="宋体" w:cs="宋体"/>
          <w:spacing w:val="6"/>
          <w:sz w:val="24"/>
        </w:rPr>
      </w:r>
      <w:r/>
    </w:p>
    <w:p>
      <w:pPr>
        <w:pStyle w:val="1270"/>
        <w:ind w:firstLine="504"/>
        <w:spacing w:line="440" w:lineRule="exact"/>
        <w:rPr>
          <w:rFonts w:hint="eastAsia"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rPr>
          <w:rFonts w:hint="eastAsia" w:ascii="宋体" w:hAnsi="宋体" w:cs="宋体"/>
          <w:spacing w:val="6"/>
          <w:sz w:val="24"/>
        </w:rPr>
      </w:r>
      <w:r/>
    </w:p>
    <w:p>
      <w:pPr>
        <w:pStyle w:val="1270"/>
        <w:ind w:firstLine="504"/>
        <w:spacing w:line="440" w:lineRule="exact"/>
        <w:rPr>
          <w:rFonts w:hint="eastAsia"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rPr>
          <w:rFonts w:hint="eastAsia" w:ascii="宋体" w:hAnsi="宋体" w:cs="宋体"/>
          <w:spacing w:val="6"/>
          <w:sz w:val="24"/>
        </w:rPr>
      </w:r>
      <w:r/>
    </w:p>
    <w:p>
      <w:pPr>
        <w:pStyle w:val="1270"/>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pStyle w:val="1270"/>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270"/>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rPr>
          <w:rFonts w:hint="eastAsia" w:ascii="宋体" w:hAnsi="宋体" w:cs="宋体"/>
          <w:color w:val="000000"/>
          <w:sz w:val="24"/>
        </w:rPr>
      </w:r>
      <w:r/>
    </w:p>
    <w:p>
      <w:pPr>
        <w:pStyle w:val="1270"/>
        <w:jc w:val="left"/>
        <w:spacing w:line="440" w:lineRule="exact"/>
        <w:rPr>
          <w:rFonts w:hint="eastAsia" w:ascii="宋体" w:hAnsi="宋体" w:cs="宋体"/>
          <w:color w:val="000000"/>
          <w:sz w:val="24"/>
        </w:rPr>
      </w:pPr>
      <w:r>
        <w:rPr>
          <w:rFonts w:hint="eastAsia" w:ascii="宋体" w:hAnsi="宋体" w:cs="宋体"/>
          <w:color w:val="000000"/>
          <w:sz w:val="24"/>
        </w:rPr>
      </w:r>
      <w:r/>
    </w:p>
    <w:p>
      <w:pPr>
        <w:pStyle w:val="1270"/>
        <w:jc w:val="left"/>
        <w:spacing w:line="440" w:lineRule="exact"/>
        <w:rPr>
          <w:rFonts w:hint="eastAsia" w:ascii="宋体" w:hAnsi="宋体" w:cs="宋体"/>
          <w:color w:val="000000"/>
          <w:sz w:val="24"/>
        </w:rPr>
      </w:pPr>
      <w:r>
        <w:rPr>
          <w:rFonts w:hint="eastAsia" w:ascii="宋体" w:hAnsi="宋体" w:cs="宋体"/>
          <w:color w:val="000000"/>
          <w:sz w:val="24"/>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270"/>
              <w:jc w:val="left"/>
              <w:spacing w:line="440" w:lineRule="exact"/>
              <w:rPr>
                <w:rFonts w:hint="eastAsia"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rPr>
                <w:rFonts w:hint="eastAsia" w:ascii="宋体" w:hAnsi="宋体" w:cs="宋体"/>
                <w:color w:val="000000"/>
                <w:sz w:val="24"/>
              </w:rPr>
            </w:r>
            <w:r/>
          </w:p>
        </w:tc>
      </w:tr>
    </w:tbl>
    <w:p>
      <w:pPr>
        <w:pStyle w:val="1270"/>
        <w:jc w:val="left"/>
        <w:rPr>
          <w:rFonts w:hint="eastAsia" w:ascii="宋体" w:hAnsi="宋体" w:cs="宋体"/>
          <w:color w:val="000000"/>
          <w:szCs w:val="21"/>
          <w:vertAlign w:val="superscript"/>
        </w:rPr>
      </w:pPr>
      <w:r>
        <w:rPr>
          <w:rFonts w:hint="eastAsia" w:ascii="宋体" w:hAnsi="宋体" w:cs="宋体"/>
          <w:color w:val="000000"/>
          <w:szCs w:val="21"/>
          <w:vertAlign w:val="superscript"/>
        </w:rPr>
      </w:r>
      <w:r/>
    </w:p>
    <w:p>
      <w:pPr>
        <w:pStyle w:val="1270"/>
        <w:ind w:right="360" w:firstLine="480"/>
        <w:jc w:val="right"/>
        <w:spacing w:line="360" w:lineRule="auto"/>
        <w:rPr>
          <w:rFonts w:hint="eastAsia" w:ascii="宋体" w:hAnsi="宋体" w:cs="宋体"/>
          <w:color w:val="000000"/>
          <w:sz w:val="24"/>
        </w:rPr>
      </w:pPr>
      <w:r>
        <w:rPr>
          <w:rFonts w:hint="eastAsia" w:ascii="宋体" w:hAnsi="宋体" w:cs="宋体"/>
          <w:color w:val="000000"/>
          <w:sz w:val="24"/>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jc w:val="center"/>
        <w:spacing w:line="440" w:lineRule="exact"/>
        <w:rPr>
          <w:rFonts w:hint="eastAsia" w:ascii="宋体" w:hAnsi="宋体" w:cs="宋体"/>
          <w:b/>
          <w:bCs/>
          <w:color w:val="000000"/>
          <w:sz w:val="36"/>
          <w:szCs w:val="36"/>
        </w:rPr>
        <w:sectPr>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b/>
          <w:bCs/>
          <w:color w:val="000000"/>
          <w:sz w:val="36"/>
          <w:szCs w:val="36"/>
        </w:rPr>
      </w:r>
      <w:r/>
    </w:p>
    <w:p>
      <w:pPr>
        <w:pStyle w:val="1270"/>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残疾人福利性单位声明函格式</w:t>
      </w:r>
      <w:r>
        <w:rPr>
          <w:rFonts w:hint="eastAsia" w:ascii="宋体" w:hAnsi="宋体" w:cs="宋体"/>
          <w:b/>
          <w:color w:val="000000"/>
          <w:sz w:val="28"/>
          <w:szCs w:val="28"/>
        </w:rPr>
      </w:r>
      <w:r/>
    </w:p>
    <w:p>
      <w:pPr>
        <w:pStyle w:val="1270"/>
        <w:jc w:val="center"/>
        <w:spacing w:line="440" w:lineRule="exact"/>
        <w:rPr>
          <w:rFonts w:hint="eastAsia" w:ascii="宋体" w:hAnsi="宋体" w:cs="宋体"/>
          <w:color w:val="000000"/>
          <w:sz w:val="36"/>
          <w:szCs w:val="36"/>
        </w:rPr>
      </w:pPr>
      <w:r>
        <w:rPr>
          <w:rFonts w:hint="eastAsia" w:ascii="宋体" w:hAnsi="宋体" w:cs="宋体"/>
          <w:color w:val="000000"/>
          <w:sz w:val="36"/>
          <w:szCs w:val="36"/>
        </w:rPr>
        <w:t xml:space="preserve"> </w:t>
      </w:r>
      <w:r>
        <w:rPr>
          <w:rFonts w:hint="eastAsia" w:ascii="宋体" w:hAnsi="宋体" w:cs="宋体"/>
          <w:color w:val="000000"/>
          <w:sz w:val="36"/>
          <w:szCs w:val="36"/>
        </w:rPr>
      </w:r>
      <w:r/>
    </w:p>
    <w:p>
      <w:pPr>
        <w:pStyle w:val="1270"/>
        <w:ind w:firstLine="504"/>
        <w:spacing w:line="44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rPr>
          <w:rFonts w:hint="eastAsia" w:ascii="宋体" w:hAnsi="宋体" w:cs="宋体"/>
          <w:spacing w:val="6"/>
          <w:sz w:val="24"/>
        </w:rPr>
      </w:r>
      <w:r/>
    </w:p>
    <w:p>
      <w:pPr>
        <w:pStyle w:val="1270"/>
        <w:ind w:firstLine="482"/>
        <w:spacing w:line="440"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rPr>
          <w:rFonts w:hint="eastAsia" w:ascii="宋体" w:hAnsi="宋体" w:cs="宋体"/>
          <w:b/>
          <w:spacing w:val="6"/>
          <w:sz w:val="24"/>
        </w:rPr>
      </w:r>
      <w:r/>
    </w:p>
    <w:p>
      <w:pPr>
        <w:pStyle w:val="1270"/>
        <w:ind w:firstLine="482"/>
        <w:spacing w:line="440"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24"/>
        </w:rPr>
      </w:r>
      <w:r/>
    </w:p>
    <w:p>
      <w:pPr>
        <w:pStyle w:val="1270"/>
        <w:ind w:firstLine="506"/>
        <w:spacing w:line="440"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rPr>
          <w:rFonts w:hint="eastAsia" w:ascii="宋体" w:hAnsi="宋体" w:cs="宋体"/>
          <w:spacing w:val="6"/>
          <w:sz w:val="24"/>
        </w:rPr>
      </w:r>
      <w:r/>
    </w:p>
    <w:p>
      <w:pPr>
        <w:pStyle w:val="1270"/>
        <w:ind w:firstLine="504"/>
        <w:spacing w:line="440" w:lineRule="exact"/>
        <w:rPr>
          <w:rFonts w:hint="eastAsia" w:ascii="宋体" w:hAnsi="宋体" w:cs="宋体"/>
          <w:spacing w:val="6"/>
          <w:sz w:val="24"/>
        </w:rPr>
      </w:pPr>
      <w:r>
        <w:rPr>
          <w:rFonts w:hint="eastAsia" w:ascii="宋体" w:hAnsi="宋体" w:cs="宋体"/>
          <w:spacing w:val="6"/>
          <w:sz w:val="24"/>
        </w:rPr>
      </w:r>
      <w:r/>
    </w:p>
    <w:p>
      <w:pPr>
        <w:pStyle w:val="1270"/>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270"/>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rPr>
          <w:rFonts w:hint="eastAsia" w:ascii="宋体" w:hAnsi="宋体" w:cs="宋体"/>
          <w:color w:val="000000"/>
          <w:sz w:val="24"/>
        </w:rPr>
      </w:r>
      <w:r/>
    </w:p>
    <w:p>
      <w:pPr>
        <w:pStyle w:val="1270"/>
        <w:spacing w:line="440" w:lineRule="exact"/>
        <w:rPr>
          <w:rFonts w:hint="eastAsia" w:ascii="宋体" w:hAnsi="宋体" w:cs="宋体"/>
          <w:color w:val="000000"/>
          <w:sz w:val="24"/>
          <w:szCs w:val="20"/>
        </w:rPr>
      </w:pPr>
      <w:r>
        <w:rPr>
          <w:rFonts w:hint="eastAsia" w:ascii="宋体" w:hAnsi="宋体" w:cs="宋体"/>
          <w:color w:val="000000"/>
          <w:sz w:val="24"/>
          <w:szCs w:val="20"/>
        </w:rPr>
        <w:br w:type="page" w:clear="all"/>
      </w:r>
      <w:r>
        <w:rPr>
          <w:rFonts w:hint="eastAsia" w:ascii="宋体" w:hAnsi="宋体" w:cs="宋体"/>
          <w:color w:val="000000"/>
          <w:sz w:val="24"/>
          <w:szCs w:val="20"/>
        </w:rPr>
        <w:t xml:space="preserve">9、 项目实施方案等，包括但不限于如下主题：</w:t>
      </w:r>
      <w:r>
        <w:rPr>
          <w:rFonts w:hint="eastAsia" w:ascii="宋体" w:hAnsi="宋体" w:cs="宋体"/>
          <w:color w:val="000000"/>
          <w:sz w:val="24"/>
          <w:szCs w:val="20"/>
        </w:rPr>
      </w:r>
      <w:r/>
    </w:p>
    <w:p>
      <w:pPr>
        <w:pStyle w:val="1270"/>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1）项目组织实施方案；</w:t>
      </w:r>
      <w:r>
        <w:rPr>
          <w:rFonts w:hint="eastAsia" w:ascii="宋体" w:hAnsi="宋体" w:cs="宋体"/>
          <w:color w:val="000000"/>
          <w:sz w:val="24"/>
          <w:szCs w:val="20"/>
        </w:rPr>
      </w:r>
      <w:r/>
    </w:p>
    <w:p>
      <w:pPr>
        <w:pStyle w:val="1270"/>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2）项目管理方案；</w:t>
      </w:r>
      <w:r>
        <w:rPr>
          <w:rFonts w:hint="eastAsia" w:ascii="宋体" w:hAnsi="宋体" w:cs="宋体"/>
          <w:color w:val="000000"/>
          <w:sz w:val="24"/>
          <w:szCs w:val="20"/>
        </w:rPr>
      </w:r>
      <w:r/>
    </w:p>
    <w:p>
      <w:pPr>
        <w:pStyle w:val="1270"/>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3）拟达到的标准，配备的人员、设备配置等；</w:t>
      </w:r>
      <w:r>
        <w:rPr>
          <w:rFonts w:hint="eastAsia" w:ascii="宋体" w:hAnsi="宋体" w:cs="宋体"/>
          <w:color w:val="000000"/>
          <w:sz w:val="24"/>
          <w:szCs w:val="20"/>
        </w:rPr>
      </w:r>
      <w:r/>
    </w:p>
    <w:p>
      <w:pPr>
        <w:pStyle w:val="1270"/>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4）</w:t>
      </w:r>
      <w:r>
        <w:rPr>
          <w:rFonts w:hint="eastAsia" w:ascii="宋体" w:hAnsi="宋体" w:cs="宋体"/>
          <w:color w:val="000000"/>
          <w:sz w:val="24"/>
        </w:rPr>
        <w:t xml:space="preserve">响应承诺</w:t>
      </w:r>
      <w:r>
        <w:rPr>
          <w:rFonts w:hint="eastAsia" w:ascii="宋体" w:hAnsi="宋体" w:cs="宋体"/>
          <w:color w:val="000000"/>
          <w:sz w:val="24"/>
          <w:szCs w:val="20"/>
        </w:rPr>
        <w:t xml:space="preserve">；</w:t>
      </w:r>
      <w:r>
        <w:rPr>
          <w:rFonts w:hint="eastAsia" w:ascii="宋体" w:hAnsi="宋体" w:cs="宋体"/>
          <w:color w:val="000000"/>
          <w:sz w:val="24"/>
          <w:szCs w:val="20"/>
        </w:rPr>
      </w:r>
      <w:r/>
    </w:p>
    <w:p>
      <w:pPr>
        <w:pStyle w:val="1270"/>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5）优惠条款或承诺；</w:t>
      </w:r>
      <w:r>
        <w:rPr>
          <w:rFonts w:hint="eastAsia" w:ascii="宋体" w:hAnsi="宋体" w:cs="宋体"/>
          <w:color w:val="000000"/>
          <w:sz w:val="24"/>
          <w:szCs w:val="20"/>
        </w:rPr>
      </w:r>
      <w:r/>
    </w:p>
    <w:p>
      <w:pPr>
        <w:pStyle w:val="1270"/>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6）其他。</w:t>
      </w: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b/>
          <w:sz w:val="32"/>
          <w:szCs w:val="32"/>
        </w:rPr>
      </w:pPr>
      <w:r>
        <w:rPr>
          <w:rFonts w:hint="eastAsia" w:ascii="宋体" w:hAnsi="宋体" w:cs="宋体"/>
          <w:color w:val="000000"/>
          <w:sz w:val="24"/>
          <w:szCs w:val="20"/>
        </w:rPr>
        <w:t xml:space="preserve">10、参加本项目人员一览表</w:t>
      </w:r>
      <w:r>
        <w:rPr>
          <w:rFonts w:hint="eastAsia" w:ascii="宋体" w:hAnsi="宋体" w:cs="宋体"/>
          <w:b/>
          <w:sz w:val="32"/>
          <w:szCs w:val="32"/>
        </w:rPr>
      </w:r>
      <w:r/>
    </w:p>
    <w:p>
      <w:pPr>
        <w:pStyle w:val="1281"/>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参加本项目人员一览表</w:t>
      </w:r>
      <w:r>
        <w:rPr>
          <w:rFonts w:hint="eastAsia" w:hAnsi="宋体" w:eastAsia="宋体" w:cs="宋体"/>
          <w:b/>
          <w:color w:val="000000"/>
          <w:sz w:val="28"/>
          <w:szCs w:val="28"/>
        </w:rPr>
      </w:r>
      <w:r/>
    </w:p>
    <w:p>
      <w:pPr>
        <w:pStyle w:val="1270"/>
        <w:spacing w:line="440" w:lineRule="exact"/>
        <w:rPr>
          <w:rFonts w:hint="eastAsia" w:ascii="宋体" w:hAnsi="宋体" w:cs="宋体"/>
          <w:sz w:val="24"/>
        </w:rPr>
      </w:pPr>
      <w:r>
        <w:rPr>
          <w:rFonts w:hint="eastAsia" w:ascii="宋体" w:hAnsi="宋体" w:cs="宋体"/>
          <w:sz w:val="24"/>
        </w:rPr>
      </w:r>
      <w:r/>
    </w:p>
    <w:p>
      <w:pPr>
        <w:pStyle w:val="1270"/>
        <w:spacing w:line="440" w:lineRule="exact"/>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r>
      <w:r/>
    </w:p>
    <w:tbl>
      <w:tblPr>
        <w:tblW w:w="4999"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964"/>
        <w:gridCol w:w="964"/>
        <w:gridCol w:w="965"/>
        <w:gridCol w:w="965"/>
        <w:gridCol w:w="965"/>
        <w:gridCol w:w="965"/>
        <w:gridCol w:w="965"/>
        <w:gridCol w:w="965"/>
        <w:gridCol w:w="965"/>
      </w:tblGrid>
      <w:tr>
        <w:trPr/>
        <w:tc>
          <w:tcPr>
            <w:tcW w:w="500" w:type="dxa"/>
            <w:vAlign w:val="center"/>
            <w:textDirection w:val="lrTb"/>
            <w:noWrap w:val="false"/>
          </w:tcPr>
          <w:p>
            <w:pPr>
              <w:pStyle w:val="1270"/>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500" w:type="dxa"/>
            <w:vAlign w:val="center"/>
            <w:textDirection w:val="lrTb"/>
            <w:noWrap w:val="false"/>
          </w:tcPr>
          <w:p>
            <w:pPr>
              <w:pStyle w:val="1270"/>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姓名</w:t>
            </w:r>
            <w:r>
              <w:rPr>
                <w:rFonts w:hint="eastAsia" w:ascii="宋体" w:hAnsi="宋体" w:cs="宋体"/>
                <w:sz w:val="24"/>
              </w:rPr>
            </w:r>
            <w:r/>
          </w:p>
        </w:tc>
        <w:tc>
          <w:tcPr>
            <w:tcW w:w="500" w:type="dxa"/>
            <w:vAlign w:val="center"/>
            <w:textDirection w:val="lrTb"/>
            <w:noWrap w:val="false"/>
          </w:tcPr>
          <w:p>
            <w:pPr>
              <w:pStyle w:val="1270"/>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性别</w:t>
            </w:r>
            <w:r>
              <w:rPr>
                <w:rFonts w:hint="eastAsia" w:ascii="宋体" w:hAnsi="宋体" w:cs="宋体"/>
                <w:sz w:val="24"/>
              </w:rPr>
            </w:r>
            <w:r/>
          </w:p>
        </w:tc>
        <w:tc>
          <w:tcPr>
            <w:tcW w:w="500" w:type="dxa"/>
            <w:vAlign w:val="center"/>
            <w:textDirection w:val="lrTb"/>
            <w:noWrap w:val="false"/>
          </w:tcPr>
          <w:p>
            <w:pPr>
              <w:pStyle w:val="1270"/>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年龄</w:t>
            </w:r>
            <w:r>
              <w:rPr>
                <w:rFonts w:hint="eastAsia" w:ascii="宋体" w:hAnsi="宋体" w:cs="宋体"/>
                <w:sz w:val="24"/>
              </w:rPr>
            </w:r>
            <w:r/>
          </w:p>
        </w:tc>
        <w:tc>
          <w:tcPr>
            <w:tcW w:w="500" w:type="dxa"/>
            <w:vAlign w:val="center"/>
            <w:textDirection w:val="lrTb"/>
            <w:noWrap w:val="false"/>
          </w:tcPr>
          <w:p>
            <w:pPr>
              <w:pStyle w:val="1270"/>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毕业学校和学历</w:t>
            </w:r>
            <w:r>
              <w:rPr>
                <w:rFonts w:hint="eastAsia" w:ascii="宋体" w:hAnsi="宋体" w:cs="宋体"/>
                <w:sz w:val="24"/>
              </w:rPr>
            </w:r>
            <w:r/>
          </w:p>
        </w:tc>
        <w:tc>
          <w:tcPr>
            <w:tcW w:w="500" w:type="dxa"/>
            <w:vAlign w:val="center"/>
            <w:textDirection w:val="lrTb"/>
            <w:noWrap w:val="false"/>
          </w:tcPr>
          <w:p>
            <w:pPr>
              <w:pStyle w:val="1270"/>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专业</w:t>
            </w:r>
            <w:r>
              <w:rPr>
                <w:rFonts w:hint="eastAsia" w:ascii="宋体" w:hAnsi="宋体" w:cs="宋体"/>
                <w:sz w:val="24"/>
              </w:rPr>
            </w:r>
            <w:r/>
          </w:p>
        </w:tc>
        <w:tc>
          <w:tcPr>
            <w:tcW w:w="500" w:type="dxa"/>
            <w:vAlign w:val="center"/>
            <w:textDirection w:val="lrTb"/>
            <w:noWrap w:val="false"/>
          </w:tcPr>
          <w:p>
            <w:pPr>
              <w:pStyle w:val="1270"/>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职称</w:t>
            </w:r>
            <w:r>
              <w:rPr>
                <w:rFonts w:hint="eastAsia" w:ascii="宋体" w:hAnsi="宋体" w:cs="宋体"/>
                <w:sz w:val="24"/>
              </w:rPr>
            </w:r>
            <w:r/>
          </w:p>
        </w:tc>
        <w:tc>
          <w:tcPr>
            <w:tcW w:w="500" w:type="dxa"/>
            <w:vAlign w:val="center"/>
            <w:textDirection w:val="lrTb"/>
            <w:noWrap w:val="false"/>
          </w:tcPr>
          <w:p>
            <w:pPr>
              <w:pStyle w:val="1270"/>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专业培训及证书</w:t>
            </w:r>
            <w:r>
              <w:rPr>
                <w:rFonts w:hint="eastAsia" w:ascii="宋体" w:hAnsi="宋体" w:cs="宋体"/>
                <w:sz w:val="24"/>
              </w:rPr>
            </w:r>
            <w:r/>
          </w:p>
        </w:tc>
        <w:tc>
          <w:tcPr>
            <w:tcW w:w="500" w:type="dxa"/>
            <w:vAlign w:val="center"/>
            <w:textDirection w:val="lrTb"/>
            <w:noWrap w:val="false"/>
          </w:tcPr>
          <w:p>
            <w:pPr>
              <w:pStyle w:val="1270"/>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责任</w:t>
            </w:r>
            <w:r>
              <w:rPr>
                <w:rFonts w:hint="eastAsia" w:ascii="宋体" w:hAnsi="宋体" w:cs="宋体"/>
                <w:sz w:val="24"/>
              </w:rPr>
            </w:r>
            <w:r/>
          </w:p>
          <w:p>
            <w:pPr>
              <w:pStyle w:val="1270"/>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或分工</w:t>
            </w:r>
            <w:r>
              <w:rPr>
                <w:rFonts w:hint="eastAsia" w:ascii="宋体" w:hAnsi="宋体" w:cs="宋体"/>
                <w:sz w:val="24"/>
              </w:rPr>
            </w:r>
            <w:r/>
          </w:p>
        </w:tc>
        <w:tc>
          <w:tcPr>
            <w:tcW w:w="500" w:type="dxa"/>
            <w:vAlign w:val="center"/>
            <w:textDirection w:val="lrTb"/>
            <w:noWrap w:val="false"/>
          </w:tcPr>
          <w:p>
            <w:pPr>
              <w:pStyle w:val="1270"/>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项目经历或主要工作</w:t>
            </w:r>
            <w:r>
              <w:rPr>
                <w:rFonts w:hint="eastAsia" w:ascii="宋体" w:hAnsi="宋体" w:cs="宋体"/>
                <w:sz w:val="24"/>
              </w:rPr>
            </w:r>
            <w:r/>
          </w:p>
          <w:p>
            <w:pPr>
              <w:pStyle w:val="1270"/>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业绩</w:t>
            </w:r>
            <w:r>
              <w:rPr>
                <w:rFonts w:hint="eastAsia" w:ascii="宋体" w:hAnsi="宋体" w:cs="宋体"/>
                <w:sz w:val="24"/>
              </w:rPr>
            </w:r>
            <w:r/>
          </w:p>
        </w:tc>
      </w:tr>
      <w:tr>
        <w:trPr/>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bl>
    <w:p>
      <w:pPr>
        <w:pStyle w:val="1270"/>
        <w:spacing w:line="440" w:lineRule="exact"/>
        <w:tabs>
          <w:tab w:val="left" w:pos="9765" w:leader="none"/>
        </w:tabs>
        <w:rPr>
          <w:rFonts w:hint="eastAsia" w:ascii="宋体" w:hAnsi="宋体" w:cs="宋体"/>
          <w:b/>
          <w:sz w:val="24"/>
          <w:lang w:val="zh-CN"/>
        </w:rPr>
      </w:pPr>
      <w:r>
        <w:rPr>
          <w:rFonts w:hint="eastAsia" w:ascii="宋体" w:hAnsi="宋体" w:cs="宋体"/>
          <w:b/>
          <w:sz w:val="24"/>
          <w:lang w:val="zh-CN"/>
        </w:rPr>
      </w:r>
      <w:r/>
    </w:p>
    <w:p>
      <w:pPr>
        <w:pStyle w:val="1270"/>
        <w:spacing w:line="440" w:lineRule="exact"/>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rPr>
          <w:rFonts w:hint="eastAsia" w:ascii="宋体" w:hAnsi="宋体" w:cs="宋体"/>
          <w:b/>
          <w:sz w:val="24"/>
        </w:rPr>
      </w:r>
      <w:r/>
    </w:p>
    <w:p>
      <w:pPr>
        <w:pStyle w:val="1270"/>
        <w:spacing w:line="440" w:lineRule="exact"/>
        <w:rPr>
          <w:rFonts w:hint="eastAsia" w:ascii="宋体" w:hAnsi="宋体" w:cs="宋体"/>
          <w:sz w:val="24"/>
        </w:rPr>
      </w:pPr>
      <w:r>
        <w:rPr>
          <w:rFonts w:hint="eastAsia" w:ascii="宋体" w:hAnsi="宋体" w:cs="宋体"/>
          <w:sz w:val="24"/>
        </w:rPr>
      </w:r>
      <w:r/>
    </w:p>
    <w:p>
      <w:pPr>
        <w:pStyle w:val="1270"/>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270"/>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270"/>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270"/>
        <w:spacing w:line="440" w:lineRule="exact"/>
        <w:rPr>
          <w:rFonts w:hint="eastAsia" w:ascii="宋体" w:hAnsi="宋体" w:cs="宋体"/>
          <w:color w:val="000000"/>
          <w:sz w:val="24"/>
          <w:szCs w:val="20"/>
        </w:rPr>
      </w:pPr>
      <w:r>
        <w:rPr>
          <w:rFonts w:hint="eastAsia" w:ascii="宋体" w:hAnsi="宋体" w:cs="宋体"/>
          <w:sz w:val="22"/>
        </w:rPr>
        <w:br w:type="page" w:clear="all"/>
      </w:r>
      <w:bookmarkStart w:id="767" w:name="_Toc288738397"/>
      <w:r/>
      <w:bookmarkStart w:id="768" w:name="_Toc288738839"/>
      <w:r>
        <w:rPr>
          <w:rFonts w:hint="eastAsia" w:ascii="宋体" w:hAnsi="宋体" w:cs="宋体"/>
          <w:sz w:val="22"/>
        </w:rPr>
        <w:t xml:space="preserve">11、</w:t>
      </w:r>
      <w:r>
        <w:rPr>
          <w:rFonts w:hint="eastAsia" w:ascii="宋体" w:hAnsi="宋体" w:cs="宋体"/>
          <w:color w:val="000000"/>
          <w:sz w:val="24"/>
          <w:szCs w:val="20"/>
        </w:rPr>
        <w:t xml:space="preserve">相关业绩案例一览表</w:t>
      </w:r>
      <w:r>
        <w:rPr>
          <w:rFonts w:hint="eastAsia" w:ascii="宋体" w:hAnsi="宋体" w:cs="宋体"/>
          <w:color w:val="000000"/>
          <w:sz w:val="24"/>
          <w:szCs w:val="20"/>
        </w:rPr>
      </w:r>
      <w:r/>
    </w:p>
    <w:p>
      <w:pPr>
        <w:pStyle w:val="1281"/>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相关业绩案例一览表</w:t>
      </w:r>
      <w:bookmarkEnd w:id="767"/>
      <w:r/>
      <w:bookmarkEnd w:id="768"/>
      <w:r>
        <w:rPr>
          <w:rFonts w:hint="eastAsia" w:hAnsi="宋体" w:eastAsia="宋体" w:cs="宋体"/>
          <w:b/>
          <w:color w:val="000000"/>
          <w:sz w:val="28"/>
          <w:szCs w:val="28"/>
        </w:rPr>
      </w:r>
      <w:r/>
    </w:p>
    <w:p>
      <w:pPr>
        <w:pStyle w:val="1281"/>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pStyle w:val="1270"/>
        <w:ind w:firstLine="480"/>
        <w:spacing w:line="440" w:lineRule="exact"/>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74"/>
        <w:gridCol w:w="1799"/>
        <w:gridCol w:w="1629"/>
        <w:gridCol w:w="1282"/>
        <w:gridCol w:w="1851"/>
        <w:gridCol w:w="1710"/>
      </w:tblGrid>
      <w:tr>
        <w:trPr>
          <w:trHeight w:val="498"/>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270"/>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270"/>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270"/>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270"/>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270"/>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270"/>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rPr>
                <w:rFonts w:hint="eastAsia"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270"/>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270"/>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270"/>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270"/>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270"/>
              <w:ind w:hanging="523"/>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270"/>
              <w:ind w:hanging="523"/>
              <w:jc w:val="center"/>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270"/>
              <w:spacing w:line="440" w:lineRule="exact"/>
              <w:tabs>
                <w:tab w:val="left" w:pos="9765" w:leader="none"/>
              </w:tabs>
              <w:rPr>
                <w:rFonts w:hint="eastAsia" w:ascii="宋体" w:hAnsi="宋体" w:cs="宋体"/>
                <w:sz w:val="24"/>
              </w:rPr>
            </w:pPr>
            <w:r>
              <w:rPr>
                <w:rFonts w:hint="eastAsia" w:ascii="宋体" w:hAnsi="宋体" w:cs="宋体"/>
                <w:sz w:val="24"/>
              </w:rPr>
            </w:r>
            <w:r/>
          </w:p>
        </w:tc>
      </w:tr>
    </w:tbl>
    <w:p>
      <w:pPr>
        <w:pStyle w:val="1270"/>
        <w:spacing w:line="440" w:lineRule="exact"/>
        <w:tabs>
          <w:tab w:val="left" w:pos="9765" w:leader="none"/>
        </w:tabs>
        <w:rPr>
          <w:rFonts w:hint="eastAsia" w:ascii="宋体" w:hAnsi="宋体" w:cs="宋体"/>
          <w:sz w:val="24"/>
          <w:lang w:val="zh-CN"/>
        </w:rPr>
      </w:pPr>
      <w:r>
        <w:rPr>
          <w:rFonts w:hint="eastAsia" w:ascii="宋体" w:hAnsi="宋体" w:cs="宋体"/>
          <w:sz w:val="24"/>
          <w:lang w:val="zh-CN"/>
        </w:rPr>
      </w:r>
      <w:r/>
    </w:p>
    <w:p>
      <w:pPr>
        <w:pStyle w:val="1270"/>
        <w:spacing w:line="440" w:lineRule="exact"/>
        <w:rPr>
          <w:rFonts w:hint="eastAsia" w:ascii="宋体" w:hAnsi="宋体" w:cs="宋体"/>
          <w:sz w:val="24"/>
        </w:rPr>
      </w:pPr>
      <w:r>
        <w:rPr>
          <w:rFonts w:hint="eastAsia" w:ascii="宋体" w:hAnsi="宋体" w:cs="宋体"/>
          <w:sz w:val="24"/>
        </w:rPr>
      </w:r>
      <w:r/>
    </w:p>
    <w:p>
      <w:pPr>
        <w:pStyle w:val="1270"/>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270"/>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270"/>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70"/>
        <w:spacing w:line="440" w:lineRule="exact"/>
        <w:rPr>
          <w:rFonts w:hint="eastAsia" w:ascii="宋体" w:hAnsi="宋体" w:cs="宋体"/>
          <w:sz w:val="24"/>
        </w:rPr>
        <w:outlineLvl w:val="2"/>
      </w:pPr>
      <w:r>
        <w:rPr>
          <w:rFonts w:hint="eastAsia" w:ascii="宋体" w:hAnsi="宋体" w:cs="宋体"/>
          <w:color w:val="000000"/>
          <w:sz w:val="24"/>
          <w:szCs w:val="20"/>
        </w:rPr>
        <w:t xml:space="preserve">12、磋商文件要求提供或供应商认为应附的其他材料</w:t>
      </w:r>
      <w:r>
        <w:rPr>
          <w:rFonts w:hint="eastAsia" w:ascii="宋体" w:hAnsi="宋体" w:cs="宋体"/>
          <w:sz w:val="24"/>
        </w:rPr>
      </w:r>
      <w:r/>
    </w:p>
    <w:p>
      <w:pPr>
        <w:pStyle w:val="1270"/>
        <w:spacing w:line="440" w:lineRule="exact"/>
        <w:rPr>
          <w:rFonts w:hint="eastAsia" w:ascii="宋体" w:hAnsi="宋体" w:cs="宋体"/>
          <w:b/>
          <w:sz w:val="36"/>
          <w:szCs w:val="36"/>
        </w:rPr>
      </w:pPr>
      <w:r>
        <w:rPr>
          <w:rFonts w:hint="eastAsia" w:ascii="宋体" w:hAnsi="宋体" w:cs="宋体"/>
          <w:b/>
          <w:sz w:val="36"/>
          <w:szCs w:val="36"/>
        </w:rPr>
      </w:r>
      <w:r/>
    </w:p>
    <w:p>
      <w:pPr>
        <w:pStyle w:val="127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 </w:t>
      </w:r>
      <w:r>
        <w:rPr>
          <w:rFonts w:hint="eastAsia" w:ascii="宋体" w:hAnsi="宋体" w:cs="宋体"/>
          <w:color w:val="000000"/>
          <w:sz w:val="24"/>
          <w:szCs w:val="20"/>
        </w:rPr>
      </w:r>
      <w:r/>
    </w:p>
    <w:p>
      <w:pPr>
        <w:pStyle w:val="1491"/>
        <w:tabs>
          <w:tab w:val="left" w:pos="567" w:leader="none"/>
        </w:tabs>
        <w:rPr>
          <w:rFonts w:hint="eastAsia"/>
          <w:lang w:val="zh-CN"/>
        </w:rPr>
      </w:pPr>
      <w:r>
        <w:rPr>
          <w:rFonts w:hint="eastAsia"/>
          <w:lang w:val="zh-CN"/>
        </w:rPr>
      </w:r>
      <w:r/>
    </w:p>
    <w:p>
      <w:pPr>
        <w:pStyle w:val="1270"/>
        <w:jc w:val="center"/>
        <w:spacing w:line="440" w:lineRule="exact"/>
        <w:rPr>
          <w:rFonts w:hint="eastAsia" w:ascii="宋体" w:hAnsi="宋体" w:cs="宋体"/>
          <w:b/>
          <w:bCs/>
          <w:color w:val="000000"/>
          <w:sz w:val="28"/>
          <w:szCs w:val="28"/>
        </w:rPr>
        <w:outlineLvl w:val="1"/>
      </w:pPr>
      <w:r>
        <w:rPr>
          <w:rFonts w:hint="eastAsia" w:ascii="宋体" w:hAnsi="宋体" w:cs="宋体"/>
          <w:b/>
          <w:bCs/>
          <w:color w:val="000000"/>
          <w:sz w:val="28"/>
          <w:szCs w:val="28"/>
        </w:rPr>
        <w:t xml:space="preserve">友情提醒</w:t>
      </w:r>
      <w:r>
        <w:rPr>
          <w:rFonts w:hint="eastAsia" w:ascii="宋体" w:hAnsi="宋体" w:cs="宋体"/>
          <w:b/>
          <w:bCs/>
          <w:color w:val="000000"/>
          <w:sz w:val="28"/>
          <w:szCs w:val="28"/>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各供应商：</w:t>
      </w:r>
      <w:r>
        <w:rPr>
          <w:rFonts w:hint="eastAsia" w:ascii="宋体" w:hAnsi="宋体" w:cs="宋体"/>
          <w:color w:val="000000"/>
          <w:sz w:val="24"/>
        </w:rPr>
      </w:r>
      <w:r/>
    </w:p>
    <w:p>
      <w:pPr>
        <w:pStyle w:val="1270"/>
        <w:ind w:firstLine="480"/>
        <w:spacing w:line="440" w:lineRule="exact"/>
        <w:rPr>
          <w:rFonts w:hint="eastAsia" w:ascii="宋体" w:hAnsi="宋体" w:cs="宋体"/>
          <w:color w:val="000000"/>
          <w:sz w:val="24"/>
        </w:rPr>
      </w:pPr>
      <w:r>
        <w:rPr>
          <w:rFonts w:hint="eastAsia" w:ascii="宋体" w:hAnsi="宋体" w:cs="宋体"/>
          <w:color w:val="000000"/>
          <w:sz w:val="24"/>
        </w:rPr>
        <w:t xml:space="preserve">你好！</w:t>
      </w:r>
      <w:r>
        <w:rPr>
          <w:rFonts w:hint="eastAsia" w:ascii="宋体" w:hAnsi="宋体" w:cs="宋体"/>
          <w:color w:val="000000"/>
          <w:sz w:val="24"/>
        </w:rPr>
      </w:r>
      <w:r/>
    </w:p>
    <w:p>
      <w:pPr>
        <w:pStyle w:val="1270"/>
        <w:ind w:firstLine="480"/>
        <w:spacing w:line="440" w:lineRule="exact"/>
        <w:rPr>
          <w:rFonts w:hint="eastAsia" w:ascii="宋体" w:hAnsi="宋体" w:cs="宋体"/>
          <w:color w:val="000000"/>
          <w:sz w:val="24"/>
        </w:rPr>
      </w:pPr>
      <w:r>
        <w:rPr>
          <w:rFonts w:hint="eastAsia" w:ascii="宋体" w:hAnsi="宋体" w:cs="宋体"/>
          <w:color w:val="000000"/>
          <w:sz w:val="24"/>
        </w:rPr>
        <w:t xml:space="preserve">为了提高贵公司的标书有效性，减少不必要的废标，特友情提醒注意以下几点：</w:t>
      </w: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1、请谨记磋商文件上表述的</w:t>
      </w:r>
      <w:r>
        <w:rPr>
          <w:rFonts w:hint="eastAsia" w:ascii="宋体" w:hAnsi="宋体" w:cs="宋体"/>
          <w:b/>
          <w:color w:val="000000"/>
          <w:sz w:val="24"/>
        </w:rPr>
        <w:t xml:space="preserve">各项事宜时间节点</w:t>
      </w:r>
      <w:r>
        <w:rPr>
          <w:rFonts w:hint="eastAsia" w:ascii="宋体" w:hAnsi="宋体" w:cs="宋体"/>
          <w:color w:val="000000"/>
          <w:sz w:val="24"/>
        </w:rPr>
        <w:t xml:space="preserve">，特别是</w:t>
      </w:r>
      <w:r>
        <w:rPr>
          <w:rFonts w:hint="eastAsia" w:ascii="宋体" w:hAnsi="宋体" w:cs="宋体"/>
          <w:b/>
          <w:color w:val="000000"/>
          <w:sz w:val="24"/>
        </w:rPr>
        <w:t xml:space="preserve">开标时间和地点</w:t>
      </w:r>
      <w:r>
        <w:rPr>
          <w:rFonts w:hint="eastAsia" w:ascii="宋体" w:hAnsi="宋体" w:cs="宋体"/>
          <w:color w:val="000000"/>
          <w:sz w:val="24"/>
        </w:rPr>
        <w:t xml:space="preserve">，迟到的将一律不能进入开标室。涉及到投标项目的所有原件均需在开标截止时间前到达开标现场。</w:t>
      </w: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2、投标保证金一定要从</w:t>
      </w:r>
      <w:r>
        <w:rPr>
          <w:rFonts w:hint="eastAsia" w:ascii="宋体" w:hAnsi="宋体" w:cs="宋体"/>
          <w:b/>
          <w:color w:val="000000"/>
          <w:sz w:val="24"/>
        </w:rPr>
        <w:t xml:space="preserve">公司账户</w:t>
      </w:r>
      <w:r>
        <w:rPr>
          <w:rFonts w:hint="eastAsia" w:ascii="宋体" w:hAnsi="宋体" w:cs="宋体"/>
          <w:color w:val="000000"/>
          <w:sz w:val="24"/>
        </w:rPr>
        <w:t xml:space="preserve">按磋商文件规定的</w:t>
      </w:r>
      <w:r>
        <w:rPr>
          <w:rFonts w:hint="eastAsia" w:ascii="宋体" w:hAnsi="宋体" w:cs="宋体"/>
          <w:b/>
          <w:color w:val="000000"/>
          <w:sz w:val="24"/>
        </w:rPr>
        <w:t xml:space="preserve">方式和时间</w:t>
      </w:r>
      <w:r>
        <w:rPr>
          <w:rFonts w:hint="eastAsia" w:ascii="宋体" w:hAnsi="宋体" w:cs="宋体"/>
          <w:color w:val="000000"/>
          <w:sz w:val="24"/>
        </w:rPr>
        <w:t xml:space="preserve">缴至</w:t>
      </w:r>
      <w:r>
        <w:rPr>
          <w:rFonts w:hint="eastAsia" w:ascii="宋体" w:hAnsi="宋体" w:cs="宋体"/>
          <w:b/>
          <w:color w:val="000000"/>
          <w:sz w:val="24"/>
        </w:rPr>
        <w:t xml:space="preserve">指定账户</w:t>
      </w:r>
      <w:r>
        <w:rPr>
          <w:rFonts w:hint="eastAsia" w:ascii="宋体" w:hAnsi="宋体" w:cs="宋体"/>
          <w:color w:val="000000"/>
          <w:sz w:val="24"/>
        </w:rPr>
        <w:t xml:space="preserve">并到账，拒绝以其他方式缴纳，禁止第三方代缴保证金。中标公示结束后我们也只会将投标保证金返还到您的</w:t>
      </w:r>
      <w:r>
        <w:rPr>
          <w:rFonts w:hint="eastAsia" w:ascii="宋体" w:hAnsi="宋体" w:cs="宋体"/>
          <w:b/>
          <w:color w:val="000000"/>
          <w:sz w:val="24"/>
        </w:rPr>
        <w:t xml:space="preserve">公司账户</w:t>
      </w:r>
      <w:r>
        <w:rPr>
          <w:rFonts w:hint="eastAsia" w:ascii="宋体" w:hAnsi="宋体" w:cs="宋体"/>
          <w:color w:val="000000"/>
          <w:sz w:val="24"/>
        </w:rPr>
        <w:t xml:space="preserve">。</w:t>
      </w:r>
      <w:r>
        <w:rPr>
          <w:rFonts w:hint="eastAsia" w:ascii="宋体" w:hAnsi="宋体" w:cs="宋体"/>
          <w:color w:val="000000"/>
          <w:sz w:val="24"/>
        </w:rPr>
      </w:r>
      <w:r/>
    </w:p>
    <w:p>
      <w:pPr>
        <w:pStyle w:val="1270"/>
        <w:jc w:val="left"/>
        <w:spacing w:line="440" w:lineRule="exact"/>
        <w:rPr>
          <w:rFonts w:hint="eastAsia" w:ascii="宋体" w:hAnsi="宋体" w:cs="宋体"/>
          <w:color w:val="000000"/>
          <w:sz w:val="24"/>
        </w:rPr>
      </w:pPr>
      <w:r>
        <w:rPr>
          <w:rFonts w:hint="eastAsia" w:ascii="宋体" w:hAnsi="宋体" w:cs="宋体"/>
          <w:color w:val="000000"/>
          <w:sz w:val="24"/>
        </w:rPr>
        <w:t xml:space="preserve">3、响应文件正副本分开</w:t>
      </w:r>
      <w:r>
        <w:rPr>
          <w:rFonts w:hint="eastAsia" w:ascii="宋体" w:hAnsi="宋体" w:cs="宋体"/>
          <w:b/>
          <w:color w:val="000000"/>
          <w:sz w:val="24"/>
        </w:rPr>
        <w:t xml:space="preserve">密封</w:t>
      </w:r>
      <w:r>
        <w:rPr>
          <w:rFonts w:hint="eastAsia" w:ascii="宋体" w:hAnsi="宋体" w:cs="宋体"/>
          <w:color w:val="000000"/>
          <w:sz w:val="24"/>
        </w:rPr>
        <w:t xml:space="preserve">并在封袋骑缝处加盖</w:t>
      </w:r>
      <w:r>
        <w:rPr>
          <w:rFonts w:hint="eastAsia" w:ascii="宋体" w:hAnsi="宋体" w:cs="宋体"/>
          <w:b/>
          <w:color w:val="000000"/>
          <w:sz w:val="24"/>
        </w:rPr>
        <w:t xml:space="preserve">供应商公章</w:t>
      </w:r>
      <w:r>
        <w:rPr>
          <w:rFonts w:hint="eastAsia" w:ascii="宋体" w:hAnsi="宋体" w:cs="宋体"/>
          <w:color w:val="000000"/>
          <w:sz w:val="24"/>
        </w:rPr>
        <w:t xml:space="preserve">。资格证明材料提供电子件的一定要加盖</w:t>
      </w:r>
      <w:r>
        <w:rPr>
          <w:rFonts w:hint="eastAsia"/>
          <w:b/>
          <w:bCs/>
          <w:sz w:val="24"/>
        </w:rPr>
        <w:t xml:space="preserve">电子签章</w:t>
      </w:r>
      <w:r>
        <w:rPr>
          <w:rFonts w:hint="eastAsia" w:ascii="宋体" w:hAnsi="宋体" w:cs="宋体"/>
          <w:color w:val="000000"/>
          <w:sz w:val="24"/>
        </w:rPr>
        <w:t xml:space="preserve">，有要求提供原件的必须提供</w:t>
      </w:r>
      <w:r>
        <w:rPr>
          <w:rFonts w:hint="eastAsia" w:ascii="宋体" w:hAnsi="宋体" w:cs="宋体"/>
          <w:b/>
          <w:color w:val="000000"/>
          <w:sz w:val="24"/>
        </w:rPr>
        <w:t xml:space="preserve">原件</w:t>
      </w:r>
      <w:r>
        <w:rPr>
          <w:rFonts w:hint="eastAsia" w:ascii="宋体" w:hAnsi="宋体" w:cs="宋体"/>
          <w:color w:val="000000"/>
          <w:sz w:val="24"/>
        </w:rPr>
        <w:t xml:space="preserve">。</w:t>
      </w: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4、需要提供样品的，请严格按磋商文件要求的</w:t>
      </w:r>
      <w:r>
        <w:rPr>
          <w:rFonts w:hint="eastAsia" w:ascii="宋体" w:hAnsi="宋体" w:cs="宋体"/>
          <w:b/>
          <w:color w:val="000000"/>
          <w:sz w:val="24"/>
        </w:rPr>
        <w:t xml:space="preserve">规格、时间</w:t>
      </w:r>
      <w:r>
        <w:rPr>
          <w:rFonts w:hint="eastAsia" w:ascii="宋体" w:hAnsi="宋体" w:cs="宋体"/>
          <w:color w:val="000000"/>
          <w:sz w:val="24"/>
        </w:rPr>
        <w:t xml:space="preserve">提供。同时注意</w:t>
      </w:r>
      <w:r>
        <w:rPr>
          <w:rFonts w:hint="eastAsia" w:ascii="宋体" w:hAnsi="宋体" w:cs="宋体"/>
          <w:b/>
          <w:color w:val="000000"/>
          <w:sz w:val="24"/>
        </w:rPr>
        <w:t xml:space="preserve">密封、隐蔽</w:t>
      </w:r>
      <w:r>
        <w:rPr>
          <w:rFonts w:hint="eastAsia" w:ascii="宋体" w:hAnsi="宋体" w:cs="宋体"/>
          <w:color w:val="000000"/>
          <w:sz w:val="24"/>
        </w:rPr>
        <w:t xml:space="preserve">标签的相关要求。</w:t>
      </w: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5、因磋商文件文字表述有限，鼓励您</w:t>
      </w:r>
      <w:r>
        <w:rPr>
          <w:rFonts w:hint="eastAsia" w:ascii="宋体" w:hAnsi="宋体" w:cs="宋体"/>
          <w:b/>
          <w:color w:val="000000"/>
          <w:sz w:val="24"/>
        </w:rPr>
        <w:t xml:space="preserve">现场踏勘</w:t>
      </w:r>
      <w:r>
        <w:rPr>
          <w:rFonts w:hint="eastAsia" w:ascii="宋体" w:hAnsi="宋体" w:cs="宋体"/>
          <w:color w:val="000000"/>
          <w:sz w:val="24"/>
        </w:rPr>
        <w:t xml:space="preserve">，可以在投标前充分了解现场环境、工程进度和质量要求等信息，为您有针对性的制作响应文件积累充分的原始资料。</w:t>
      </w: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6、设定</w:t>
      </w:r>
      <w:r>
        <w:rPr>
          <w:rFonts w:hint="eastAsia" w:ascii="宋体" w:hAnsi="宋体" w:cs="宋体"/>
          <w:b/>
          <w:color w:val="000000"/>
          <w:sz w:val="24"/>
        </w:rPr>
        <w:t xml:space="preserve">最高限价</w:t>
      </w:r>
      <w:r>
        <w:rPr>
          <w:rFonts w:hint="eastAsia" w:ascii="宋体" w:hAnsi="宋体" w:cs="宋体"/>
          <w:color w:val="000000"/>
          <w:sz w:val="24"/>
        </w:rPr>
        <w:t xml:space="preserve">的，超过限价一律废标。</w:t>
      </w:r>
      <w:r>
        <w:rPr>
          <w:rFonts w:hint="eastAsia" w:ascii="宋体" w:hAnsi="宋体" w:cs="宋体"/>
          <w:color w:val="000000"/>
          <w:sz w:val="24"/>
        </w:rPr>
      </w:r>
      <w:r/>
    </w:p>
    <w:p>
      <w:pPr>
        <w:pStyle w:val="1270"/>
        <w:spacing w:line="440" w:lineRule="exact"/>
        <w:rPr>
          <w:rFonts w:hint="eastAsia" w:ascii="宋体" w:hAnsi="宋体" w:cs="宋体"/>
          <w:color w:val="000000"/>
          <w:sz w:val="24"/>
        </w:rPr>
      </w:pPr>
      <w:r>
        <w:rPr>
          <w:rFonts w:hint="eastAsia" w:ascii="宋体" w:hAnsi="宋体" w:cs="宋体"/>
          <w:color w:val="000000"/>
          <w:sz w:val="24"/>
        </w:rPr>
        <w:t xml:space="preserve">7、请精心仔细</w:t>
      </w:r>
      <w:r>
        <w:rPr>
          <w:rFonts w:hint="eastAsia" w:ascii="宋体" w:hAnsi="宋体" w:cs="宋体"/>
          <w:b/>
          <w:color w:val="000000"/>
          <w:sz w:val="24"/>
        </w:rPr>
        <w:t xml:space="preserve">审阅磋商文件,特别是黑体字</w:t>
      </w:r>
      <w:r>
        <w:rPr>
          <w:rFonts w:hint="eastAsia" w:ascii="宋体" w:hAnsi="宋体" w:cs="宋体"/>
          <w:color w:val="000000"/>
          <w:sz w:val="24"/>
        </w:rPr>
        <w:t xml:space="preserve">。如有疑问，请按磋商文件要求进行询疑。</w:t>
      </w:r>
      <w:r>
        <w:rPr>
          <w:rFonts w:hint="eastAsia" w:ascii="宋体" w:hAnsi="宋体" w:cs="宋体"/>
          <w:color w:val="000000"/>
          <w:sz w:val="24"/>
        </w:rPr>
      </w:r>
      <w:r/>
    </w:p>
    <w:p>
      <w:pPr>
        <w:pStyle w:val="1270"/>
        <w:ind w:firstLine="480"/>
        <w:spacing w:line="440" w:lineRule="exact"/>
        <w:rPr>
          <w:rFonts w:hint="eastAsia" w:ascii="宋体" w:hAnsi="宋体" w:cs="宋体"/>
          <w:color w:val="000000"/>
          <w:sz w:val="24"/>
        </w:rPr>
      </w:pPr>
      <w:r>
        <w:rPr>
          <w:rFonts w:hint="eastAsia" w:ascii="宋体" w:hAnsi="宋体" w:cs="宋体"/>
          <w:color w:val="000000"/>
          <w:sz w:val="24"/>
        </w:rPr>
        <w:t xml:space="preserve">我们也欢迎您对我们的招标组织工作提出宝贵意见。电话：0519-80897906</w:t>
      </w:r>
      <w:r>
        <w:rPr>
          <w:rFonts w:hint="eastAsia" w:ascii="宋体" w:hAnsi="宋体" w:cs="宋体"/>
          <w:color w:val="000000"/>
          <w:sz w:val="24"/>
        </w:rPr>
      </w:r>
      <w:r/>
    </w:p>
    <w:p>
      <w:pPr>
        <w:pStyle w:val="1270"/>
        <w:ind w:firstLine="480"/>
        <w:spacing w:line="440" w:lineRule="exact"/>
        <w:rPr>
          <w:rFonts w:hint="eastAsia" w:ascii="宋体" w:hAnsi="宋体" w:cs="宋体"/>
          <w:color w:val="000000"/>
          <w:sz w:val="24"/>
        </w:rPr>
      </w:pPr>
      <w:r>
        <w:rPr>
          <w:rFonts w:hint="eastAsia" w:ascii="宋体" w:hAnsi="宋体" w:cs="宋体"/>
          <w:color w:val="000000"/>
          <w:sz w:val="24"/>
        </w:rPr>
        <w:t xml:space="preserve">最后祝您投标成功！</w:t>
      </w:r>
      <w:r>
        <w:rPr>
          <w:rFonts w:hint="eastAsia" w:ascii="宋体" w:hAnsi="宋体" w:cs="宋体"/>
          <w:color w:val="000000"/>
          <w:sz w:val="24"/>
        </w:rPr>
      </w:r>
      <w:r/>
    </w:p>
    <w:p>
      <w:pPr>
        <w:pStyle w:val="1270"/>
        <w:spacing w:line="440" w:lineRule="exact"/>
        <w:rPr>
          <w:rFonts w:hint="eastAsia" w:ascii="宋体" w:hAnsi="宋体" w:cs="宋体"/>
          <w:b/>
          <w:color w:val="000000"/>
          <w:sz w:val="24"/>
        </w:rPr>
      </w:pPr>
      <w:r>
        <w:rPr>
          <w:rFonts w:hint="eastAsia" w:ascii="宋体" w:hAnsi="宋体" w:cs="宋体"/>
          <w:b/>
          <w:color w:val="000000"/>
          <w:sz w:val="24"/>
        </w:rPr>
      </w:r>
      <w:r/>
    </w:p>
    <w:p>
      <w:pPr>
        <w:pStyle w:val="1270"/>
        <w:jc w:val="center"/>
        <w:spacing w:line="440" w:lineRule="exact"/>
        <w:rPr>
          <w:rFonts w:hint="eastAsia" w:ascii="宋体" w:hAnsi="宋体" w:cs="宋体"/>
          <w:b/>
          <w:color w:val="000000"/>
          <w:sz w:val="28"/>
          <w:szCs w:val="28"/>
        </w:rPr>
        <w:outlineLvl w:val="1"/>
      </w:pPr>
      <w:r/>
      <w:bookmarkStart w:id="769" w:name="_Toc8194_WPSOffice_Level3"/>
      <w:r/>
      <w:bookmarkStart w:id="770" w:name="_Toc18401_WPSOffice_Level1"/>
      <w:r/>
      <w:bookmarkStart w:id="771" w:name="_Toc27589_WPSOffice_Level1"/>
      <w:r/>
      <w:bookmarkStart w:id="772" w:name="_Toc31548"/>
      <w:r>
        <w:rPr>
          <w:rFonts w:hint="eastAsia" w:ascii="宋体" w:hAnsi="宋体" w:cs="宋体"/>
          <w:b/>
          <w:color w:val="000000"/>
          <w:sz w:val="28"/>
          <w:szCs w:val="28"/>
        </w:rPr>
      </w:r>
      <w:r/>
    </w:p>
    <w:p>
      <w:pPr>
        <w:pStyle w:val="1270"/>
        <w:jc w:val="center"/>
        <w:spacing w:line="440" w:lineRule="exact"/>
        <w:rPr>
          <w:rFonts w:hint="eastAsia" w:ascii="宋体" w:hAnsi="宋体" w:cs="宋体"/>
          <w:b/>
          <w:color w:val="000000"/>
          <w:sz w:val="28"/>
          <w:szCs w:val="28"/>
        </w:rPr>
        <w:outlineLvl w:val="1"/>
      </w:pPr>
      <w:r>
        <w:rPr>
          <w:rFonts w:hint="eastAsia" w:ascii="宋体" w:hAnsi="宋体" w:cs="宋体"/>
          <w:b/>
          <w:color w:val="000000"/>
          <w:sz w:val="28"/>
          <w:szCs w:val="28"/>
        </w:rPr>
      </w:r>
      <w:r/>
    </w:p>
    <w:p>
      <w:pPr>
        <w:pStyle w:val="1491"/>
        <w:tabs>
          <w:tab w:val="left" w:pos="567" w:leader="none"/>
        </w:tabs>
        <w:rPr>
          <w:rFonts w:hint="eastAsia" w:cs="宋体"/>
          <w:b/>
          <w:color w:val="000000"/>
          <w:sz w:val="28"/>
          <w:szCs w:val="28"/>
        </w:rPr>
      </w:pPr>
      <w:r>
        <w:rPr>
          <w:rFonts w:hint="eastAsia" w:cs="宋体"/>
          <w:b/>
          <w:color w:val="000000"/>
          <w:sz w:val="28"/>
          <w:szCs w:val="28"/>
        </w:rPr>
      </w:r>
      <w:r/>
    </w:p>
    <w:p>
      <w:pPr>
        <w:pStyle w:val="1270"/>
        <w:rPr>
          <w:rFonts w:hint="eastAsia" w:ascii="宋体" w:hAnsi="宋体" w:cs="宋体"/>
          <w:b/>
          <w:color w:val="000000"/>
          <w:sz w:val="28"/>
          <w:szCs w:val="28"/>
        </w:rPr>
      </w:pPr>
      <w:r>
        <w:rPr>
          <w:rFonts w:hint="eastAsia" w:ascii="宋体" w:hAnsi="宋体" w:cs="宋体"/>
          <w:b/>
          <w:color w:val="000000"/>
          <w:sz w:val="28"/>
          <w:szCs w:val="28"/>
        </w:rPr>
      </w:r>
      <w:r/>
    </w:p>
    <w:p>
      <w:pPr>
        <w:pStyle w:val="1491"/>
        <w:tabs>
          <w:tab w:val="left" w:pos="567" w:leader="none"/>
        </w:tabs>
        <w:rPr>
          <w:rFonts w:hint="eastAsia" w:cs="宋体"/>
          <w:b/>
          <w:color w:val="000000"/>
          <w:sz w:val="28"/>
          <w:szCs w:val="28"/>
        </w:rPr>
      </w:pPr>
      <w:r>
        <w:rPr>
          <w:rFonts w:hint="eastAsia" w:cs="宋体"/>
          <w:b/>
          <w:color w:val="000000"/>
          <w:sz w:val="28"/>
          <w:szCs w:val="28"/>
        </w:rPr>
      </w:r>
      <w:r/>
    </w:p>
    <w:p>
      <w:pPr>
        <w:pStyle w:val="1270"/>
        <w:rPr>
          <w:rFonts w:hint="eastAsia" w:ascii="宋体" w:hAnsi="宋体" w:cs="宋体"/>
          <w:b/>
          <w:color w:val="000000"/>
          <w:sz w:val="28"/>
          <w:szCs w:val="28"/>
        </w:rPr>
      </w:pPr>
      <w:r>
        <w:rPr>
          <w:rFonts w:hint="eastAsia" w:ascii="宋体" w:hAnsi="宋体" w:cs="宋体"/>
          <w:b/>
          <w:color w:val="000000"/>
          <w:sz w:val="28"/>
          <w:szCs w:val="28"/>
        </w:rPr>
      </w:r>
      <w:r/>
    </w:p>
    <w:p>
      <w:pPr>
        <w:pStyle w:val="1491"/>
        <w:tabs>
          <w:tab w:val="left" w:pos="567" w:leader="none"/>
        </w:tabs>
        <w:rPr>
          <w:rFonts w:hint="eastAsia" w:cs="宋体"/>
          <w:b/>
          <w:color w:val="000000"/>
          <w:sz w:val="28"/>
          <w:szCs w:val="28"/>
        </w:rPr>
      </w:pPr>
      <w:r>
        <w:rPr>
          <w:rFonts w:hint="eastAsia" w:cs="宋体"/>
          <w:b/>
          <w:color w:val="000000"/>
          <w:sz w:val="28"/>
          <w:szCs w:val="28"/>
        </w:rPr>
      </w:r>
      <w:r/>
    </w:p>
    <w:p>
      <w:pPr>
        <w:pStyle w:val="1270"/>
        <w:rPr>
          <w:rFonts w:hint="eastAsia" w:ascii="宋体" w:hAnsi="宋体" w:cs="宋体"/>
          <w:b/>
          <w:color w:val="000000"/>
          <w:sz w:val="28"/>
          <w:szCs w:val="28"/>
        </w:rPr>
      </w:pPr>
      <w:r>
        <w:rPr>
          <w:rFonts w:hint="eastAsia" w:ascii="宋体" w:hAnsi="宋体" w:cs="宋体"/>
          <w:b/>
          <w:color w:val="000000"/>
          <w:sz w:val="28"/>
          <w:szCs w:val="28"/>
        </w:rPr>
      </w:r>
      <w:r/>
    </w:p>
    <w:p>
      <w:pPr>
        <w:pStyle w:val="1491"/>
        <w:tabs>
          <w:tab w:val="left" w:pos="567" w:leader="none"/>
        </w:tabs>
        <w:rPr>
          <w:rFonts w:hint="eastAsia"/>
        </w:rPr>
      </w:pPr>
      <w:r>
        <w:rPr>
          <w:rFonts w:hint="eastAsia"/>
        </w:rPr>
      </w:r>
      <w:r/>
    </w:p>
    <w:p>
      <w:pPr>
        <w:pStyle w:val="1491"/>
        <w:spacing w:before="0" w:line="440" w:lineRule="exact"/>
        <w:tabs>
          <w:tab w:val="left" w:pos="567" w:leader="none"/>
        </w:tabs>
        <w:rPr>
          <w:rFonts w:hint="eastAsia"/>
        </w:rPr>
      </w:pPr>
      <w:r>
        <w:rPr>
          <w:rFonts w:hint="eastAsia"/>
        </w:rPr>
      </w:r>
      <w:r/>
    </w:p>
    <w:p>
      <w:pPr>
        <w:pStyle w:val="1270"/>
        <w:jc w:val="center"/>
        <w:spacing w:line="440" w:lineRule="exact"/>
        <w:rPr>
          <w:rFonts w:hint="eastAsia" w:ascii="宋体" w:hAnsi="宋体" w:cs="宋体"/>
          <w:b/>
          <w:color w:val="000000"/>
          <w:sz w:val="28"/>
          <w:szCs w:val="28"/>
        </w:rPr>
        <w:outlineLvl w:val="1"/>
      </w:pPr>
      <w:r>
        <w:rPr>
          <w:rFonts w:hint="eastAsia" w:ascii="宋体" w:hAnsi="宋体" w:cs="宋体"/>
          <w:b/>
          <w:color w:val="000000"/>
          <w:sz w:val="28"/>
          <w:szCs w:val="28"/>
        </w:rPr>
        <w:t xml:space="preserve">财务温馨提醒</w:t>
      </w:r>
      <w:bookmarkEnd w:id="769"/>
      <w:r/>
      <w:bookmarkEnd w:id="770"/>
      <w:r/>
      <w:bookmarkEnd w:id="771"/>
      <w:r/>
      <w:bookmarkEnd w:id="772"/>
      <w:r>
        <w:rPr>
          <w:rFonts w:hint="eastAsia" w:ascii="宋体" w:hAnsi="宋体" w:cs="宋体"/>
          <w:b/>
          <w:color w:val="000000"/>
          <w:sz w:val="28"/>
          <w:szCs w:val="28"/>
        </w:rPr>
      </w:r>
      <w:r/>
    </w:p>
    <w:p>
      <w:pPr>
        <w:pStyle w:val="1270"/>
        <w:spacing w:line="440" w:lineRule="exact"/>
        <w:rPr>
          <w:rFonts w:hint="eastAsia" w:ascii="宋体" w:hAnsi="宋体" w:cs="宋体"/>
          <w:color w:val="000000"/>
          <w:sz w:val="24"/>
        </w:rPr>
      </w:pPr>
      <w:r>
        <w:rPr>
          <w:rFonts w:hint="eastAsia" w:ascii="宋体" w:hAnsi="宋体" w:cs="宋体"/>
          <w:color w:val="000000"/>
          <w:sz w:val="24"/>
        </w:rPr>
      </w:r>
      <w:r/>
    </w:p>
    <w:p>
      <w:pPr>
        <w:pStyle w:val="1270"/>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投标保证金：1、投标保证金必须由供应商从</w:t>
      </w:r>
      <w:r>
        <w:rPr>
          <w:rFonts w:hint="eastAsia" w:ascii="宋体" w:hAnsi="宋体" w:cs="宋体"/>
          <w:b/>
          <w:color w:val="000000"/>
          <w:sz w:val="24"/>
        </w:rPr>
        <w:t xml:space="preserve">公司账户</w:t>
      </w:r>
      <w:r>
        <w:rPr>
          <w:rFonts w:hint="eastAsia" w:ascii="宋体" w:hAnsi="宋体" w:cs="宋体"/>
          <w:color w:val="000000"/>
          <w:sz w:val="24"/>
        </w:rPr>
        <w:t xml:space="preserve">缴纳。未按要求缴纳保证金的供应商，视为无效响应。</w:t>
      </w:r>
      <w:r>
        <w:rPr>
          <w:rFonts w:hint="eastAsia" w:ascii="宋体" w:hAnsi="宋体" w:cs="宋体"/>
          <w:color w:val="000000"/>
          <w:sz w:val="24"/>
        </w:rPr>
      </w:r>
      <w:r/>
    </w:p>
    <w:p>
      <w:pPr>
        <w:pStyle w:val="1270"/>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            2、未中标单位需在本次投标公示期结束（招标结束</w:t>
      </w:r>
      <w:r>
        <w:rPr>
          <w:rFonts w:hint="eastAsia" w:ascii="宋体" w:hAnsi="宋体" w:cs="宋体"/>
          <w:b/>
          <w:color w:val="000000"/>
          <w:sz w:val="24"/>
        </w:rPr>
        <w:t xml:space="preserve">7个工作日之后</w:t>
      </w:r>
      <w:r>
        <w:rPr>
          <w:rFonts w:hint="eastAsia" w:ascii="宋体" w:hAnsi="宋体" w:cs="宋体"/>
          <w:color w:val="000000"/>
          <w:sz w:val="24"/>
        </w:rPr>
        <w:t xml:space="preserve">）将收据退回至代理机构财务，并提供贵公司</w:t>
      </w:r>
      <w:r>
        <w:rPr>
          <w:rFonts w:hint="eastAsia" w:ascii="宋体" w:hAnsi="宋体" w:cs="宋体"/>
          <w:b/>
          <w:color w:val="000000"/>
          <w:sz w:val="24"/>
        </w:rPr>
        <w:t xml:space="preserve">账号信息</w:t>
      </w:r>
      <w:r>
        <w:rPr>
          <w:rFonts w:hint="eastAsia" w:ascii="宋体" w:hAnsi="宋体" w:cs="宋体"/>
          <w:color w:val="000000"/>
          <w:sz w:val="24"/>
        </w:rPr>
        <w:t xml:space="preserve">。</w:t>
      </w:r>
      <w:r>
        <w:rPr>
          <w:rFonts w:hint="eastAsia" w:ascii="宋体" w:hAnsi="宋体" w:cs="宋体"/>
          <w:color w:val="000000"/>
          <w:sz w:val="24"/>
        </w:rPr>
      </w:r>
      <w:r/>
    </w:p>
    <w:p>
      <w:pPr>
        <w:pStyle w:val="1270"/>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            3、中标单位需在五个工作日内缴纳中标服务费及履约保证金，并把合同备案后，办理退回保证金手续（详见第2条）</w:t>
      </w:r>
      <w:r>
        <w:rPr>
          <w:rFonts w:hint="eastAsia" w:ascii="宋体" w:hAnsi="宋体" w:cs="宋体"/>
          <w:color w:val="000000"/>
          <w:sz w:val="24"/>
        </w:rPr>
      </w:r>
      <w:r/>
    </w:p>
    <w:p>
      <w:pPr>
        <w:pStyle w:val="1270"/>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代 理 费：  中标单位需在收到中标通知书后按规定向代理机构缴纳代理费，缴款方式由中标公司向代理机构的投标保证金账户</w:t>
      </w:r>
      <w:r>
        <w:rPr>
          <w:rFonts w:hint="eastAsia" w:ascii="宋体" w:hAnsi="宋体" w:cs="宋体"/>
          <w:b/>
          <w:color w:val="000000"/>
          <w:sz w:val="24"/>
        </w:rPr>
        <w:t xml:space="preserve">打款或电汇</w:t>
      </w:r>
      <w:r>
        <w:rPr>
          <w:rFonts w:hint="eastAsia" w:ascii="宋体" w:hAnsi="宋体" w:cs="宋体"/>
          <w:color w:val="000000"/>
          <w:sz w:val="24"/>
        </w:rPr>
        <w:t xml:space="preserve">。</w:t>
      </w:r>
      <w:r>
        <w:rPr>
          <w:rFonts w:hint="eastAsia" w:ascii="宋体" w:hAnsi="宋体" w:cs="宋体"/>
          <w:color w:val="000000"/>
          <w:sz w:val="24"/>
        </w:rPr>
      </w:r>
      <w:r/>
    </w:p>
    <w:p>
      <w:pPr>
        <w:pStyle w:val="1270"/>
        <w:jc w:val="center"/>
        <w:spacing w:line="440" w:lineRule="exact"/>
        <w:rPr>
          <w:rFonts w:hint="eastAsia" w:ascii="宋体" w:hAnsi="宋体" w:cs="宋体"/>
          <w:bCs/>
          <w:color w:val="000000"/>
          <w:sz w:val="24"/>
        </w:rPr>
      </w:pPr>
      <w:r>
        <w:rPr>
          <w:rFonts w:hint="eastAsia" w:ascii="宋体" w:hAnsi="宋体" w:cs="宋体"/>
          <w:bCs/>
          <w:color w:val="000000"/>
          <w:sz w:val="24"/>
        </w:rPr>
      </w:r>
      <w:r/>
    </w:p>
    <w:p>
      <w:pPr>
        <w:pStyle w:val="1270"/>
        <w:jc w:val="center"/>
        <w:spacing w:line="440" w:lineRule="exact"/>
        <w:rPr>
          <w:rFonts w:hint="eastAsia" w:ascii="宋体" w:hAnsi="宋体" w:cs="宋体"/>
          <w:bCs/>
          <w:color w:val="000000"/>
          <w:sz w:val="24"/>
        </w:rPr>
        <w:outlineLvl w:val="0"/>
      </w:pPr>
      <w:r/>
      <w:bookmarkStart w:id="773" w:name="_Toc13911"/>
      <w:r/>
      <w:bookmarkStart w:id="774" w:name="_Toc27123_WPSOffice_Level1"/>
      <w:r/>
      <w:bookmarkStart w:id="775" w:name="_Toc2083_WPSOffice_Level1"/>
      <w:r/>
      <w:bookmarkStart w:id="776" w:name="_Toc4864_WPSOffice_Level1"/>
      <w:r/>
      <w:bookmarkStart w:id="777" w:name="_Toc21720_WPSOffice_Level1"/>
      <w:r/>
      <w:bookmarkStart w:id="778" w:name="_Toc14992_WPSOffice_Level1"/>
      <w:r>
        <w:rPr>
          <w:rFonts w:hint="eastAsia" w:ascii="宋体" w:hAnsi="宋体" w:cs="宋体"/>
          <w:bCs/>
          <w:color w:val="000000"/>
          <w:sz w:val="24"/>
        </w:rPr>
        <w:t xml:space="preserve">本磋商文件的最终解释权归江苏龙城招投标有限公司所有。</w:t>
      </w:r>
      <w:bookmarkEnd w:id="773"/>
      <w:r/>
      <w:bookmarkEnd w:id="774"/>
      <w:r/>
      <w:bookmarkEnd w:id="775"/>
      <w:r/>
      <w:bookmarkEnd w:id="776"/>
      <w:r/>
      <w:bookmarkEnd w:id="777"/>
      <w:r/>
      <w:bookmarkEnd w:id="778"/>
      <w:r>
        <w:rPr>
          <w:rFonts w:hint="eastAsia" w:ascii="宋体" w:hAnsi="宋体" w:cs="宋体"/>
          <w:bCs/>
          <w:color w:val="000000"/>
          <w:sz w:val="24"/>
        </w:rPr>
      </w:r>
      <w:r/>
    </w:p>
    <w:p>
      <w:pPr>
        <w:pStyle w:val="1270"/>
        <w:jc w:val="center"/>
        <w:spacing w:line="440" w:lineRule="exact"/>
        <w:rPr>
          <w:rFonts w:hint="eastAsia" w:ascii="宋体" w:hAnsi="宋体" w:cs="宋体"/>
          <w:b/>
          <w:color w:val="000000"/>
          <w:sz w:val="24"/>
        </w:rPr>
      </w:pPr>
      <w:r>
        <w:rPr>
          <w:rFonts w:hint="eastAsia" w:ascii="宋体" w:hAnsi="宋体" w:cs="宋体"/>
          <w:b/>
          <w:color w:val="000000"/>
          <w:sz w:val="24"/>
        </w:rPr>
        <w:t xml:space="preserve">（全文完）</w:t>
      </w:r>
      <w:r/>
    </w:p>
    <w:sectPr>
      <w:footnotePr/>
      <w:endnotePr/>
      <w:type w:val="nextPage"/>
      <w:pgSz w:w="11905" w:h="16838" w:orient="portrait"/>
      <w:pgMar w:top="1803" w:right="1236" w:bottom="1803" w:left="1236" w:header="1020" w:footer="10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Tahoma">
    <w:panose1 w:val="020B06040305040402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楷体_GB2312">
    <w:panose1 w:val="02010609060101010101"/>
  </w:font>
  <w:font w:name="ˎ̥">
    <w:panose1 w:val="020B0503020202020204"/>
  </w:font>
  <w:font w:name="Courier New">
    <w:panose1 w:val="020703090202050204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8"/>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9525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952500" cy="1828800"/>
                      </a:xfrm>
                      <a:prstGeom prst="rect">
                        <a:avLst/>
                      </a:prstGeom>
                      <a:noFill/>
                      <a:ln>
                        <a:noFill/>
                      </a:ln>
                    </wps:spPr>
                    <wps:txbx>
                      <w:txbxContent>
                        <w:p>
                          <w:pPr>
                            <w:pStyle w:val="150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99</w:t>
                          </w:r>
                          <w:r>
                            <w:fldChar w:fldCharType="end"/>
                          </w:r>
                          <w:r>
                            <w:t xml:space="preserve"> 页</w:t>
                          </w:r>
                          <w:r/>
                        </w:p>
                        <w:p>
                          <w:pPr>
                            <w:pStyle w:val="1270"/>
                          </w:pPr>
                          <w:r/>
                          <w:r/>
                        </w:p>
                        <w:p>
                          <w:pPr>
                            <w:pStyle w:val="1270"/>
                          </w:pPr>
                          <w:r/>
                          <w:r/>
                        </w:p>
                      </w:txbxContent>
                    </wps:txbx>
                    <wps:bodyPr wrap="squar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75.0pt;height:144.0pt;mso-wrap-distance-left:9.0pt;mso-wrap-distance-top:0.0pt;mso-wrap-distance-right:9.0pt;mso-wrap-distance-bottom:0.0pt;visibility:visible;" filled="f" stroked="f">
              <v:textbox inset="0,0,0,0">
                <w:txbxContent>
                  <w:p>
                    <w:pPr>
                      <w:pStyle w:val="150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99</w:t>
                    </w:r>
                    <w:r>
                      <w:fldChar w:fldCharType="end"/>
                    </w:r>
                    <w:r>
                      <w:t xml:space="preserve"> 页</w:t>
                    </w:r>
                    <w:r/>
                  </w:p>
                  <w:p>
                    <w:pPr>
                      <w:pStyle w:val="1270"/>
                    </w:pPr>
                    <w:r/>
                    <w:r/>
                  </w:p>
                  <w:p>
                    <w:pPr>
                      <w:pStyle w:val="1270"/>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8"/>
      <w:tabs>
        <w:tab w:val="center" w:pos="4153" w:leader="none"/>
        <w:tab w:val="right" w:pos="8306" w:leader="none"/>
      </w:tabs>
      <w:rPr>
        <w:rStyle w:val="1533"/>
      </w:rPr>
      <w:framePr w:wrap="around" w:vAnchor="text" w:hAnchor="margin" w:xAlign="center" w:y="1"/>
    </w:pPr>
    <w:r>
      <w:fldChar w:fldCharType="begin"/>
    </w:r>
    <w:r>
      <w:rPr>
        <w:rStyle w:val="1533"/>
      </w:rPr>
      <w:instrText xml:space="preserve">PAGE  </w:instrText>
    </w:r>
    <w:r>
      <w:fldChar w:fldCharType="separate"/>
    </w:r>
    <w:r>
      <w:fldChar w:fldCharType="end"/>
    </w:r>
    <w:r>
      <w:rPr>
        <w:rStyle w:val="1533"/>
      </w:rPr>
    </w:r>
    <w:r/>
  </w:p>
  <w:p>
    <w:pPr>
      <w:pStyle w:val="150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8"/>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93</w:t>
                          </w:r>
                          <w:r>
                            <w:fldChar w:fldCharType="end"/>
                          </w:r>
                          <w:r>
                            <w:t xml:space="preserve"> 页</w:t>
                          </w:r>
                          <w:r/>
                        </w:p>
                        <w:p>
                          <w:pPr>
                            <w:pStyle w:val="1270"/>
                          </w:pPr>
                          <w:r/>
                          <w:r/>
                        </w:p>
                        <w:p>
                          <w:pPr>
                            <w:pStyle w:val="1270"/>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8"/>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93</w:t>
                    </w:r>
                    <w:r>
                      <w:fldChar w:fldCharType="end"/>
                    </w:r>
                    <w:r>
                      <w:t xml:space="preserve"> 页</w:t>
                    </w:r>
                    <w:r/>
                  </w:p>
                  <w:p>
                    <w:pPr>
                      <w:pStyle w:val="1270"/>
                    </w:pPr>
                    <w:r/>
                    <w:r/>
                  </w:p>
                  <w:p>
                    <w:pPr>
                      <w:pStyle w:val="127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8"/>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8"/>
                            <w:tabs>
                              <w:tab w:val="clear" w:pos="4153" w:leader="none"/>
                              <w:tab w:val="clear" w:pos="8306" w:leader="none"/>
                            </w:tabs>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99</w:t>
                          </w:r>
                          <w:r>
                            <w:fldChar w:fldCharType="end"/>
                          </w:r>
                          <w:r>
                            <w:t xml:space="preserve"> 页</w:t>
                          </w:r>
                          <w:r/>
                        </w:p>
                        <w:p>
                          <w:pPr>
                            <w:pStyle w:val="1270"/>
                          </w:pPr>
                          <w:r/>
                          <w:r/>
                        </w:p>
                        <w:p>
                          <w:pPr>
                            <w:pStyle w:val="1270"/>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8"/>
                      <w:tabs>
                        <w:tab w:val="clear" w:pos="4153" w:leader="none"/>
                        <w:tab w:val="clear" w:pos="8306" w:leader="none"/>
                      </w:tabs>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99</w:t>
                    </w:r>
                    <w:r>
                      <w:fldChar w:fldCharType="end"/>
                    </w:r>
                    <w:r>
                      <w:t xml:space="preserve"> 页</w:t>
                    </w:r>
                    <w:r/>
                  </w:p>
                  <w:p>
                    <w:pPr>
                      <w:pStyle w:val="1270"/>
                    </w:pPr>
                    <w:r/>
                    <w:r/>
                  </w:p>
                  <w:p>
                    <w:pPr>
                      <w:pStyle w:val="1270"/>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8"/>
      <w:tabs>
        <w:tab w:val="center" w:pos="4153" w:leader="none"/>
        <w:tab w:val="right" w:pos="8306" w:leader="none"/>
      </w:tabs>
      <w:rPr>
        <w:rStyle w:val="1533"/>
      </w:rPr>
      <w:framePr w:wrap="around" w:vAnchor="text" w:hAnchor="margin" w:xAlign="right" w:y="1"/>
    </w:pPr>
    <w:r>
      <w:rPr>
        <w:rStyle w:val="1533"/>
      </w:rPr>
      <w:fldChar w:fldCharType="begin"/>
    </w:r>
    <w:r>
      <w:rPr>
        <w:rStyle w:val="1533"/>
      </w:rPr>
      <w:instrText xml:space="preserve">PAGE  </w:instrText>
    </w:r>
    <w:r>
      <w:rPr>
        <w:rStyle w:val="1533"/>
      </w:rPr>
      <w:fldChar w:fldCharType="separate"/>
    </w:r>
    <w:r>
      <w:rPr>
        <w:rStyle w:val="1533"/>
      </w:rPr>
      <w:fldChar w:fldCharType="end"/>
    </w:r>
    <w:r>
      <w:rPr>
        <w:rStyle w:val="1533"/>
      </w:rPr>
    </w:r>
    <w:r/>
  </w:p>
  <w:p>
    <w:pPr>
      <w:pStyle w:val="1508"/>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8"/>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99</w:t>
                          </w:r>
                          <w:r>
                            <w:fldChar w:fldCharType="end"/>
                          </w:r>
                          <w:r>
                            <w:t xml:space="preserve"> 页</w:t>
                          </w:r>
                          <w:r/>
                        </w:p>
                        <w:p>
                          <w:pPr>
                            <w:pStyle w:val="1270"/>
                          </w:pPr>
                          <w:r/>
                          <w:r/>
                        </w:p>
                        <w:p>
                          <w:pPr>
                            <w:pStyle w:val="1270"/>
                          </w:pPr>
                          <w:r/>
                          <w:r/>
                        </w:p>
                      </w:txbxContent>
                    </wps:txbx>
                    <wps:bodyPr wrap="none" lIns="0" tIns="0" rIns="0" bIns="0" upright="1">
                      <a:spAutoFit/>
                    </wps:bodyPr>
                  </wps:wsp>
                </a:graphicData>
              </a:graphic>
            </wp:anchor>
          </w:drawing>
        </mc:Choice>
        <mc:Fallback>
          <w:pict>
            <v:shape id="shape 8" o:spid="_x0000_s8"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8"/>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99</w:t>
                    </w:r>
                    <w:r>
                      <w:fldChar w:fldCharType="end"/>
                    </w:r>
                    <w:r>
                      <w:t xml:space="preserve"> 页</w:t>
                    </w:r>
                    <w:r/>
                  </w:p>
                  <w:p>
                    <w:pPr>
                      <w:pStyle w:val="1270"/>
                    </w:pPr>
                    <w:r/>
                    <w:r/>
                  </w:p>
                  <w:p>
                    <w:pPr>
                      <w:pStyle w:val="1270"/>
                    </w:pPr>
                    <w:r/>
                    <w:r/>
                  </w:p>
                </w:txbxContent>
              </v:textbox>
            </v:shape>
          </w:pict>
        </mc:Fallback>
      </mc:AlternateContent>
    </w:r>
    <w:r>
      <w:rPr>
        <w:rFonts w:eastAsia="Times New Roman"/>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8"/>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8"/>
                            <w:tabs>
                              <w:tab w:val="clear" w:pos="4153" w:leader="none"/>
                              <w:tab w:val="clear" w:pos="8306" w:leader="none"/>
                            </w:tabs>
                          </w:pPr>
                          <w:r>
                            <w:t xml:space="preserve">第 </w:t>
                          </w:r>
                          <w:r>
                            <w:fldChar w:fldCharType="begin"/>
                          </w:r>
                          <w:r>
                            <w:instrText xml:space="preserve"> PAGE  \* MERGEFORMAT </w:instrText>
                          </w:r>
                          <w:r>
                            <w:fldChar w:fldCharType="separate"/>
                          </w:r>
                          <w:r>
                            <w:t xml:space="preserve">99</w:t>
                          </w:r>
                          <w:r>
                            <w:fldChar w:fldCharType="end"/>
                          </w:r>
                          <w:r>
                            <w:t xml:space="preserve"> 页 共 </w:t>
                          </w:r>
                          <w:r>
                            <w:fldChar w:fldCharType="begin"/>
                          </w:r>
                          <w:r>
                            <w:instrText xml:space="preserve"> NUMPAGES  \* MERGEFORMAT </w:instrText>
                          </w:r>
                          <w:r>
                            <w:fldChar w:fldCharType="separate"/>
                          </w:r>
                          <w:r>
                            <w:t xml:space="preserve">101</w:t>
                          </w:r>
                          <w:r>
                            <w:fldChar w:fldCharType="end"/>
                          </w:r>
                          <w:r>
                            <w:t xml:space="preserve"> 页</w:t>
                          </w:r>
                          <w:r/>
                        </w:p>
                        <w:p>
                          <w:pPr>
                            <w:pStyle w:val="1270"/>
                          </w:pPr>
                          <w:r/>
                          <w:r/>
                        </w:p>
                        <w:p>
                          <w:pPr>
                            <w:pStyle w:val="1270"/>
                          </w:pPr>
                          <w:r/>
                          <w:r/>
                        </w:p>
                      </w:txbxContent>
                    </wps:txbx>
                    <wps:bodyPr wrap="none" lIns="0" tIns="0" rIns="0" bIns="0" upright="1">
                      <a:spAutoFit/>
                    </wps:bodyPr>
                  </wps:wsp>
                </a:graphicData>
              </a:graphic>
            </wp:anchor>
          </w:drawing>
        </mc:Choice>
        <mc:Fallback>
          <w:pict>
            <v:shape id="shape 9" o:spid="_x0000_s9"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8"/>
                      <w:tabs>
                        <w:tab w:val="clear" w:pos="4153" w:leader="none"/>
                        <w:tab w:val="clear" w:pos="8306" w:leader="none"/>
                      </w:tabs>
                    </w:pPr>
                    <w:r>
                      <w:t xml:space="preserve">第 </w:t>
                    </w:r>
                    <w:r>
                      <w:fldChar w:fldCharType="begin"/>
                    </w:r>
                    <w:r>
                      <w:instrText xml:space="preserve"> PAGE  \* MERGEFORMAT </w:instrText>
                    </w:r>
                    <w:r>
                      <w:fldChar w:fldCharType="separate"/>
                    </w:r>
                    <w:r>
                      <w:t xml:space="preserve">99</w:t>
                    </w:r>
                    <w:r>
                      <w:fldChar w:fldCharType="end"/>
                    </w:r>
                    <w:r>
                      <w:t xml:space="preserve"> 页 共 </w:t>
                    </w:r>
                    <w:r>
                      <w:fldChar w:fldCharType="begin"/>
                    </w:r>
                    <w:r>
                      <w:instrText xml:space="preserve"> NUMPAGES  \* MERGEFORMAT </w:instrText>
                    </w:r>
                    <w:r>
                      <w:fldChar w:fldCharType="separate"/>
                    </w:r>
                    <w:r>
                      <w:t xml:space="preserve">101</w:t>
                    </w:r>
                    <w:r>
                      <w:fldChar w:fldCharType="end"/>
                    </w:r>
                    <w:r>
                      <w:t xml:space="preserve"> 页</w:t>
                    </w:r>
                    <w:r/>
                  </w:p>
                  <w:p>
                    <w:pPr>
                      <w:pStyle w:val="1270"/>
                    </w:pPr>
                    <w:r/>
                    <w:r/>
                  </w:p>
                  <w:p>
                    <w:pPr>
                      <w:pStyle w:val="1270"/>
                    </w:pPr>
                    <w:r/>
                    <w:r/>
                  </w:p>
                </w:txbxContent>
              </v:textbox>
            </v:shape>
          </w:pict>
        </mc:Fallback>
      </mc:AlternateContent>
    </w:r>
    <w:r>
      <w:rPr>
        <w:rFonts w:ascii="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8"/>
      <w:tabs>
        <w:tab w:val="center" w:pos="4153" w:leader="none"/>
        <w:tab w:val="right" w:pos="8306" w:leader="none"/>
      </w:tabs>
      <w:rPr>
        <w:rStyle w:val="1533"/>
      </w:rPr>
      <w:framePr w:wrap="around" w:vAnchor="text" w:hAnchor="margin" w:xAlign="right" w:y="1"/>
    </w:pPr>
    <w:r>
      <w:rPr>
        <w:rStyle w:val="1533"/>
      </w:rPr>
      <w:fldChar w:fldCharType="begin"/>
    </w:r>
    <w:r>
      <w:rPr>
        <w:rStyle w:val="1533"/>
      </w:rPr>
      <w:instrText xml:space="preserve">PAGE  </w:instrText>
    </w:r>
    <w:r>
      <w:rPr>
        <w:rStyle w:val="1533"/>
      </w:rPr>
      <w:fldChar w:fldCharType="separate"/>
    </w:r>
    <w:r>
      <w:rPr>
        <w:rStyle w:val="1533"/>
      </w:rPr>
      <w:fldChar w:fldCharType="end"/>
    </w:r>
    <w:r>
      <w:rPr>
        <w:rStyle w:val="1533"/>
      </w:rPr>
    </w:r>
    <w:r/>
  </w:p>
  <w:p>
    <w:pPr>
      <w:pStyle w:val="1508"/>
      <w:ind w:right="360"/>
      <w:tabs>
        <w:tab w:val="center" w:pos="4153" w:leader="none"/>
        <w:tab w:val="right" w:pos="8306" w:leader="none"/>
      </w:tabs>
    </w:pPr>
    <w:r/>
    <w:r/>
  </w:p>
  <w:p>
    <w:pPr>
      <w:pStyle w:val="127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8"/>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93</w:t>
                          </w:r>
                          <w:r>
                            <w:fldChar w:fldCharType="end"/>
                          </w:r>
                          <w:r>
                            <w:t xml:space="preserve"> 页</w:t>
                          </w:r>
                          <w:r/>
                        </w:p>
                        <w:p>
                          <w:pPr>
                            <w:pStyle w:val="1270"/>
                          </w:pPr>
                          <w:r/>
                          <w:r/>
                        </w:p>
                        <w:p>
                          <w:pPr>
                            <w:pStyle w:val="1270"/>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8"/>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93</w:t>
                    </w:r>
                    <w:r>
                      <w:fldChar w:fldCharType="end"/>
                    </w:r>
                    <w:r>
                      <w:t xml:space="preserve"> 页</w:t>
                    </w:r>
                    <w:r/>
                  </w:p>
                  <w:p>
                    <w:pPr>
                      <w:pStyle w:val="1270"/>
                    </w:pPr>
                    <w:r/>
                    <w:r/>
                  </w:p>
                  <w:p>
                    <w:pPr>
                      <w:pStyle w:val="1270"/>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8"/>
      <w:tabs>
        <w:tab w:val="center" w:pos="4153" w:leader="none"/>
        <w:tab w:val="right" w:pos="8306" w:leader="none"/>
      </w:tabs>
      <w:rPr>
        <w:rStyle w:val="1533"/>
      </w:rPr>
      <w:framePr w:wrap="around" w:vAnchor="text" w:hAnchor="margin" w:xAlign="right" w:y="1"/>
    </w:pPr>
    <w:r>
      <w:rPr>
        <w:rStyle w:val="1533"/>
      </w:rPr>
      <w:fldChar w:fldCharType="begin"/>
    </w:r>
    <w:r>
      <w:rPr>
        <w:rStyle w:val="1533"/>
      </w:rPr>
      <w:instrText xml:space="preserve">PAGE  </w:instrText>
    </w:r>
    <w:r>
      <w:rPr>
        <w:rStyle w:val="1533"/>
      </w:rPr>
      <w:fldChar w:fldCharType="separate"/>
    </w:r>
    <w:r>
      <w:rPr>
        <w:rStyle w:val="1533"/>
      </w:rPr>
      <w:fldChar w:fldCharType="end"/>
    </w:r>
    <w:r>
      <w:rPr>
        <w:rStyle w:val="1533"/>
      </w:rPr>
    </w:r>
    <w:r/>
  </w:p>
  <w:p>
    <w:pPr>
      <w:pStyle w:val="1508"/>
      <w:ind w:right="360"/>
      <w:tabs>
        <w:tab w:val="center" w:pos="4153" w:leader="none"/>
        <w:tab w:val="right" w:pos="8306" w:leader="none"/>
      </w:tabs>
    </w:pPr>
    <w:r/>
    <w:r/>
  </w:p>
  <w:p>
    <w:pPr>
      <w:pStyle w:val="1270"/>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8"/>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93</w:t>
                          </w:r>
                          <w:r>
                            <w:fldChar w:fldCharType="end"/>
                          </w:r>
                          <w:r>
                            <w:t xml:space="preserve"> 页</w:t>
                          </w:r>
                          <w:r/>
                        </w:p>
                        <w:p>
                          <w:pPr>
                            <w:pStyle w:val="1270"/>
                          </w:pPr>
                          <w:r/>
                          <w:r/>
                        </w:p>
                        <w:p>
                          <w:pPr>
                            <w:pStyle w:val="1270"/>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8"/>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93</w:t>
                    </w:r>
                    <w:r>
                      <w:fldChar w:fldCharType="end"/>
                    </w:r>
                    <w:r>
                      <w:t xml:space="preserve"> 页</w:t>
                    </w:r>
                    <w:r/>
                  </w:p>
                  <w:p>
                    <w:pPr>
                      <w:pStyle w:val="1270"/>
                    </w:pPr>
                    <w:r/>
                    <w:r/>
                  </w:p>
                  <w:p>
                    <w:pPr>
                      <w:pStyle w:val="127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jc w:val="right"/>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51295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margin">
                <wp:align>center</wp:align>
              </wp:positionH>
              <wp:positionV relativeFrom="margin">
                <wp:align>center</wp:align>
              </wp:positionV>
              <wp:extent cx="5274310" cy="51295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1;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2" o:title=""/>
            </v:shape>
          </w:pict>
        </mc:Fallback>
      </mc:AlternateContent>
    </w:r>
    <w:r>
      <w:rPr>
        <w:rFonts w:hint="eastAsia"/>
        <w:sz w:val="21"/>
        <w:szCs w:val="21"/>
      </w:rPr>
      <w:t xml:space="preserve">江苏龙城招投标有限公司竞争性磋商文件</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jc w:val="right"/>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align>center</wp:align>
              </wp:positionH>
              <wp:positionV relativeFrom="margin">
                <wp:align>center</wp:align>
              </wp:positionV>
              <wp:extent cx="5274310" cy="51295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jc w:val="right"/>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512953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3;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margin">
                <wp:align>center</wp:align>
              </wp:positionH>
              <wp:positionV relativeFrom="margin">
                <wp:align>center</wp:align>
              </wp:positionV>
              <wp:extent cx="5274310" cy="512953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0609660;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2" o:title=""/>
            </v:shape>
          </w:pict>
        </mc:Fallback>
      </mc:AlternateContent>
    </w:r>
    <w:r>
      <w:rPr>
        <w:rFonts w:hint="eastAsia"/>
        <w:sz w:val="21"/>
        <w:szCs w:val="21"/>
      </w:rPr>
      <w:t xml:space="preserve">江苏龙城招投标有限公司竞争性磋商文件</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tabs>
        <w:tab w:val="center" w:pos="4153" w:leader="none"/>
        <w:tab w:val="right" w:pos="8306" w:leader="none"/>
      </w:tabs>
    </w:pPr>
    <w:r/>
    <w:r/>
  </w:p>
  <w:p>
    <w:pPr>
      <w:pStyle w:val="127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jc w:val="right"/>
      <w:tabs>
        <w:tab w:val="center" w:pos="4153" w:leader="none"/>
        <w:tab w:val="right" w:pos="8306" w:leader="none"/>
      </w:tabs>
    </w:pPr>
    <w:r>
      <w:rPr>
        <w:rFonts w:hint="eastAsia"/>
        <w:sz w:val="21"/>
        <w:szCs w:val="21"/>
      </w:rPr>
      <w:t xml:space="preserve">江苏龙城招投标有限公司竞争性磋商文件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tabs>
        <w:tab w:val="center" w:pos="4153" w:leader="none"/>
        <w:tab w:val="right" w:pos="8306" w:leader="none"/>
      </w:tabs>
    </w:pPr>
    <w:r/>
    <w:r/>
  </w:p>
  <w:p>
    <w:pPr>
      <w:pStyle w:val="12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jc w:val="right"/>
      <w:tabs>
        <w:tab w:val="center" w:pos="4153" w:leader="none"/>
        <w:tab w:val="left" w:pos="6698" w:leader="none"/>
        <w:tab w:val="right" w:pos="8306" w:leader="none"/>
      </w:tabs>
      <w:rPr>
        <w:rFonts w:hint="eastAsia"/>
      </w:rPr>
    </w:pPr>
    <w:r>
      <w:rPr>
        <w:rFonts w:hint="eastAsia"/>
      </w:rPr>
      <w:tab/>
    </w:r>
    <w:r>
      <w:rPr>
        <w:rFonts w:hint="eastAsia"/>
        <w:sz w:val="21"/>
        <w:szCs w:val="21"/>
      </w:rPr>
      <w:t xml:space="preserve">江苏龙城招投标有限公司竞争性磋商文件</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270"/>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270"/>
        <w:ind w:left="1418"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2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670"/>
      <w:isLgl w:val="false"/>
      <w:suff w:val="tab"/>
      <w:lvlText w:val="%1"/>
      <w:lvlJc w:val="left"/>
      <w:pPr>
        <w:pStyle w:val="1270"/>
        <w:ind w:left="680" w:hanging="680"/>
      </w:pPr>
      <w:rPr>
        <w:rFonts w:hint="eastAsia" w:ascii="宋体" w:hAnsi="宋体" w:eastAsia="宋体"/>
      </w:rPr>
    </w:lvl>
    <w:lvl w:ilvl="1">
      <w:start w:val="1"/>
      <w:numFmt w:val="decimal"/>
      <w:pStyle w:val="1671"/>
      <w:isLgl w:val="false"/>
      <w:suff w:val="tab"/>
      <w:lvlText w:val="%1.%2"/>
      <w:lvlJc w:val="left"/>
      <w:pPr>
        <w:pStyle w:val="1270"/>
        <w:ind w:left="851" w:hanging="851"/>
      </w:pPr>
      <w:rPr>
        <w:rFonts w:hint="eastAsia" w:ascii="宋体" w:hAnsi="宋体" w:eastAsia="宋体"/>
        <w:color w:val="000000"/>
      </w:rPr>
    </w:lvl>
    <w:lvl w:ilvl="2">
      <w:start w:val="1"/>
      <w:numFmt w:val="decimal"/>
      <w:pStyle w:val="1672"/>
      <w:isLgl w:val="false"/>
      <w:suff w:val="tab"/>
      <w:lvlText w:val="%1.%2.%3"/>
      <w:lvlJc w:val="left"/>
      <w:pPr>
        <w:pStyle w:val="1270"/>
        <w:ind w:left="851" w:hanging="851"/>
      </w:pPr>
      <w:rPr>
        <w:rFonts w:hint="eastAsia"/>
      </w:rPr>
    </w:lvl>
    <w:lvl w:ilvl="3">
      <w:start w:val="1"/>
      <w:numFmt w:val="decimal"/>
      <w:isLgl w:val="false"/>
      <w:suff w:val="tab"/>
      <w:lvlText w:val="%1.%2.%3.%4"/>
      <w:lvlJc w:val="left"/>
      <w:pPr>
        <w:pStyle w:val="1270"/>
        <w:ind w:left="680" w:hanging="680"/>
      </w:pPr>
      <w:rPr>
        <w:rFonts w:hint="eastAsia"/>
      </w:rPr>
    </w:lvl>
    <w:lvl w:ilvl="4">
      <w:start w:val="1"/>
      <w:numFmt w:val="decimal"/>
      <w:isLgl w:val="false"/>
      <w:suff w:val="tab"/>
      <w:lvlText w:val="%1.%2.%3.%4.%5"/>
      <w:lvlJc w:val="left"/>
      <w:pPr>
        <w:pStyle w:val="1270"/>
        <w:ind w:left="680" w:hanging="680"/>
      </w:pPr>
      <w:rPr>
        <w:rFonts w:hint="eastAsia"/>
      </w:rPr>
    </w:lvl>
    <w:lvl w:ilvl="5">
      <w:start w:val="1"/>
      <w:numFmt w:val="decimal"/>
      <w:isLgl w:val="false"/>
      <w:suff w:val="tab"/>
      <w:lvlText w:val="%1.%2.%3.%4.%5.%6"/>
      <w:lvlJc w:val="left"/>
      <w:pPr>
        <w:pStyle w:val="1270"/>
        <w:ind w:left="680" w:hanging="680"/>
      </w:pPr>
      <w:rPr>
        <w:rFonts w:hint="eastAsia"/>
      </w:rPr>
    </w:lvl>
    <w:lvl w:ilvl="6">
      <w:start w:val="1"/>
      <w:numFmt w:val="decimal"/>
      <w:isLgl w:val="false"/>
      <w:suff w:val="tab"/>
      <w:lvlText w:val="%1.%2.%3.%4.%5.%6.%7"/>
      <w:lvlJc w:val="left"/>
      <w:pPr>
        <w:pStyle w:val="1270"/>
        <w:ind w:left="680" w:hanging="680"/>
      </w:pPr>
      <w:rPr>
        <w:rFonts w:hint="eastAsia"/>
      </w:rPr>
    </w:lvl>
    <w:lvl w:ilvl="7">
      <w:start w:val="1"/>
      <w:numFmt w:val="decimal"/>
      <w:isLgl w:val="false"/>
      <w:suff w:val="tab"/>
      <w:lvlText w:val="%1.%2.%3.%4.%5.%6.%7.%8"/>
      <w:lvlJc w:val="left"/>
      <w:pPr>
        <w:pStyle w:val="1270"/>
        <w:ind w:left="680" w:hanging="680"/>
      </w:pPr>
      <w:rPr>
        <w:rFonts w:hint="eastAsia"/>
      </w:rPr>
    </w:lvl>
    <w:lvl w:ilvl="8">
      <w:start w:val="1"/>
      <w:numFmt w:val="decimal"/>
      <w:isLgl w:val="false"/>
      <w:suff w:val="tab"/>
      <w:lvlText w:val="%1.%2.%3.%4.%5.%6.%7.%8.%9"/>
      <w:lvlJc w:val="left"/>
      <w:pPr>
        <w:pStyle w:val="1270"/>
        <w:ind w:left="680" w:hanging="680"/>
      </w:pPr>
      <w:rPr>
        <w:rFonts w:hint="eastAsia"/>
      </w:rPr>
    </w:lvl>
  </w:abstractNum>
  <w:abstractNum w:abstractNumId="4">
    <w:multiLevelType w:val="hybridMultilevel"/>
    <w:lvl w:ilvl="0">
      <w:start w:val="1"/>
      <w:numFmt w:val="decimal"/>
      <w:isLgl w:val="false"/>
      <w:suff w:val="tab"/>
      <w:lvlText w:val="%1"/>
      <w:lvlJc w:val="left"/>
      <w:pPr>
        <w:pStyle w:val="1270"/>
        <w:ind w:left="900" w:hanging="900"/>
        <w:tabs>
          <w:tab w:val="num" w:pos="900" w:leader="none"/>
        </w:tabs>
      </w:pPr>
      <w:rPr>
        <w:rFonts w:hint="eastAsia"/>
      </w:rPr>
    </w:lvl>
    <w:lvl w:ilvl="1">
      <w:start w:val="1"/>
      <w:numFmt w:val="decimal"/>
      <w:isLgl w:val="false"/>
      <w:suff w:val="tab"/>
      <w:lvlText w:val="%1.%2"/>
      <w:lvlJc w:val="left"/>
      <w:pPr>
        <w:pStyle w:val="12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270"/>
        <w:ind w:left="1980" w:hanging="900"/>
        <w:tabs>
          <w:tab w:val="num" w:pos="1980" w:leader="none"/>
        </w:tabs>
      </w:pPr>
      <w:rPr>
        <w:rFonts w:hint="eastAsia"/>
      </w:rPr>
    </w:lvl>
    <w:lvl w:ilvl="3">
      <w:start w:val="1"/>
      <w:numFmt w:val="decimal"/>
      <w:isLgl w:val="false"/>
      <w:suff w:val="tab"/>
      <w:lvlText w:val="%1.%2.%3.%4"/>
      <w:lvlJc w:val="left"/>
      <w:pPr>
        <w:pStyle w:val="1270"/>
        <w:ind w:left="900" w:hanging="900"/>
        <w:tabs>
          <w:tab w:val="num" w:pos="900" w:leader="none"/>
        </w:tabs>
      </w:pPr>
      <w:rPr>
        <w:rFonts w:hint="eastAsia"/>
      </w:rPr>
    </w:lvl>
    <w:lvl w:ilvl="4">
      <w:start w:val="1"/>
      <w:numFmt w:val="decimal"/>
      <w:isLgl w:val="false"/>
      <w:suff w:val="tab"/>
      <w:lvlText w:val="%1.%2.%3.%4.%5"/>
      <w:lvlJc w:val="left"/>
      <w:pPr>
        <w:pStyle w:val="1270"/>
        <w:ind w:left="900" w:hanging="900"/>
        <w:tabs>
          <w:tab w:val="num" w:pos="900" w:leader="none"/>
        </w:tabs>
      </w:pPr>
      <w:rPr>
        <w:rFonts w:hint="eastAsia"/>
      </w:rPr>
    </w:lvl>
    <w:lvl w:ilvl="5">
      <w:start w:val="1"/>
      <w:numFmt w:val="decimal"/>
      <w:isLgl w:val="false"/>
      <w:suff w:val="tab"/>
      <w:lvlText w:val="%1.%2.%3.%4.%5.%6"/>
      <w:lvlJc w:val="left"/>
      <w:pPr>
        <w:pStyle w:val="1270"/>
        <w:ind w:left="900" w:hanging="900"/>
        <w:tabs>
          <w:tab w:val="num" w:pos="900" w:leader="none"/>
        </w:tabs>
      </w:pPr>
      <w:rPr>
        <w:rFonts w:hint="eastAsia"/>
      </w:rPr>
    </w:lvl>
    <w:lvl w:ilvl="6">
      <w:start w:val="1"/>
      <w:numFmt w:val="decimal"/>
      <w:isLgl w:val="false"/>
      <w:suff w:val="tab"/>
      <w:lvlText w:val="%1.%2.%3.%4.%5.%6.%7"/>
      <w:lvlJc w:val="left"/>
      <w:pPr>
        <w:pStyle w:val="1270"/>
        <w:ind w:left="900" w:hanging="900"/>
        <w:tabs>
          <w:tab w:val="num" w:pos="900" w:leader="none"/>
        </w:tabs>
      </w:pPr>
      <w:rPr>
        <w:rFonts w:hint="eastAsia"/>
      </w:rPr>
    </w:lvl>
    <w:lvl w:ilvl="7">
      <w:start w:val="1"/>
      <w:numFmt w:val="decimal"/>
      <w:isLgl w:val="false"/>
      <w:suff w:val="tab"/>
      <w:lvlText w:val="%1.%2.%3.%4.%5.%6.%7.%8"/>
      <w:lvlJc w:val="left"/>
      <w:pPr>
        <w:pStyle w:val="1270"/>
        <w:ind w:left="900" w:hanging="900"/>
        <w:tabs>
          <w:tab w:val="num" w:pos="900" w:leader="none"/>
        </w:tabs>
      </w:pPr>
      <w:rPr>
        <w:rFonts w:hint="eastAsia"/>
      </w:rPr>
    </w:lvl>
    <w:lvl w:ilvl="8">
      <w:start w:val="1"/>
      <w:numFmt w:val="decimal"/>
      <w:isLgl w:val="false"/>
      <w:suff w:val="tab"/>
      <w:lvlText w:val="%1.%2.%3.%4.%5.%6.%7.%8.%9"/>
      <w:lvlJc w:val="left"/>
      <w:pPr>
        <w:pStyle w:val="1270"/>
        <w:ind w:left="900" w:hanging="900"/>
        <w:tabs>
          <w:tab w:val="num" w:pos="900" w:leader="none"/>
        </w:tabs>
      </w:pPr>
      <w:rPr>
        <w:rFonts w:hint="eastAsia"/>
      </w:rPr>
    </w:lvl>
  </w:abstractNum>
  <w:abstractNum w:abstractNumId="5">
    <w:multiLevelType w:val="hybridMultilevel"/>
    <w:lvl w:ilvl="0">
      <w:start w:val="1"/>
      <w:numFmt w:val="decimal"/>
      <w:pStyle w:val="1570"/>
      <w:isLgl w:val="false"/>
      <w:suff w:val="tab"/>
      <w:lvlText w:val="%1)"/>
      <w:lvlJc w:val="left"/>
      <w:pPr>
        <w:pStyle w:val="1270"/>
        <w:ind w:left="420" w:hanging="420"/>
      </w:pPr>
    </w:lvl>
    <w:lvl w:ilvl="1">
      <w:start w:val="1"/>
      <w:numFmt w:val="lowerLetter"/>
      <w:isLgl w:val="false"/>
      <w:suff w:val="tab"/>
      <w:lvlText w:val="%2)"/>
      <w:lvlJc w:val="left"/>
      <w:pPr>
        <w:pStyle w:val="1270"/>
        <w:ind w:left="840" w:hanging="420"/>
      </w:pPr>
    </w:lvl>
    <w:lvl w:ilvl="2">
      <w:start w:val="1"/>
      <w:numFmt w:val="lowerRoman"/>
      <w:isLgl w:val="false"/>
      <w:suff w:val="tab"/>
      <w:lvlText w:val="%3."/>
      <w:lvlJc w:val="right"/>
      <w:pPr>
        <w:pStyle w:val="1270"/>
        <w:ind w:left="1260" w:hanging="420"/>
      </w:pPr>
    </w:lvl>
    <w:lvl w:ilvl="3">
      <w:start w:val="1"/>
      <w:numFmt w:val="decimal"/>
      <w:isLgl w:val="false"/>
      <w:suff w:val="tab"/>
      <w:lvlText w:val="%4."/>
      <w:lvlJc w:val="left"/>
      <w:pPr>
        <w:pStyle w:val="1270"/>
        <w:ind w:left="1680" w:hanging="420"/>
      </w:pPr>
    </w:lvl>
    <w:lvl w:ilvl="4">
      <w:start w:val="1"/>
      <w:numFmt w:val="lowerLetter"/>
      <w:isLgl w:val="false"/>
      <w:suff w:val="tab"/>
      <w:lvlText w:val="%5)"/>
      <w:lvlJc w:val="left"/>
      <w:pPr>
        <w:pStyle w:val="1270"/>
        <w:ind w:left="2100" w:hanging="420"/>
      </w:pPr>
    </w:lvl>
    <w:lvl w:ilvl="5">
      <w:start w:val="1"/>
      <w:numFmt w:val="lowerRoman"/>
      <w:isLgl w:val="false"/>
      <w:suff w:val="tab"/>
      <w:lvlText w:val="%6."/>
      <w:lvlJc w:val="right"/>
      <w:pPr>
        <w:pStyle w:val="1270"/>
        <w:ind w:left="2520" w:hanging="420"/>
      </w:pPr>
    </w:lvl>
    <w:lvl w:ilvl="6">
      <w:start w:val="1"/>
      <w:numFmt w:val="decimal"/>
      <w:isLgl w:val="false"/>
      <w:suff w:val="tab"/>
      <w:lvlText w:val="%7."/>
      <w:lvlJc w:val="left"/>
      <w:pPr>
        <w:pStyle w:val="1270"/>
        <w:ind w:left="2940" w:hanging="420"/>
      </w:pPr>
    </w:lvl>
    <w:lvl w:ilvl="7">
      <w:start w:val="1"/>
      <w:numFmt w:val="lowerLetter"/>
      <w:isLgl w:val="false"/>
      <w:suff w:val="tab"/>
      <w:lvlText w:val="%8)"/>
      <w:lvlJc w:val="left"/>
      <w:pPr>
        <w:pStyle w:val="1270"/>
        <w:ind w:left="3360" w:hanging="420"/>
      </w:pPr>
    </w:lvl>
    <w:lvl w:ilvl="8">
      <w:start w:val="1"/>
      <w:numFmt w:val="lowerRoman"/>
      <w:isLgl w:val="false"/>
      <w:suff w:val="tab"/>
      <w:lvlText w:val="%9."/>
      <w:lvlJc w:val="right"/>
      <w:pPr>
        <w:pStyle w:val="1270"/>
        <w:ind w:left="3780" w:hanging="420"/>
      </w:pPr>
    </w:lvl>
  </w:abstractNum>
  <w:abstractNum w:abstractNumId="6">
    <w:multiLevelType w:val="hybridMultilevel"/>
    <w:lvl w:ilvl="0">
      <w:start w:val="1"/>
      <w:numFmt w:val="decimal"/>
      <w:isLgl w:val="false"/>
      <w:suff w:val="tab"/>
      <w:lvlText w:val="%1"/>
      <w:lvlJc w:val="left"/>
      <w:pPr>
        <w:pStyle w:val="1270"/>
        <w:ind w:left="900" w:hanging="900"/>
        <w:tabs>
          <w:tab w:val="num" w:pos="900" w:leader="none"/>
        </w:tabs>
      </w:pPr>
      <w:rPr>
        <w:rFonts w:hint="eastAsia"/>
      </w:rPr>
    </w:lvl>
    <w:lvl w:ilvl="1">
      <w:start w:val="1"/>
      <w:numFmt w:val="decimal"/>
      <w:isLgl w:val="false"/>
      <w:suff w:val="tab"/>
      <w:lvlText w:val="%1.%2"/>
      <w:lvlJc w:val="left"/>
      <w:pPr>
        <w:pStyle w:val="12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270"/>
        <w:ind w:left="1980" w:hanging="900"/>
        <w:tabs>
          <w:tab w:val="num" w:pos="1980" w:leader="none"/>
        </w:tabs>
      </w:pPr>
      <w:rPr>
        <w:rFonts w:hint="eastAsia"/>
      </w:rPr>
    </w:lvl>
    <w:lvl w:ilvl="3">
      <w:start w:val="1"/>
      <w:numFmt w:val="decimal"/>
      <w:isLgl w:val="false"/>
      <w:suff w:val="tab"/>
      <w:lvlText w:val="%1.%2.%3.%4"/>
      <w:lvlJc w:val="left"/>
      <w:pPr>
        <w:pStyle w:val="1270"/>
        <w:ind w:left="900" w:hanging="900"/>
        <w:tabs>
          <w:tab w:val="num" w:pos="900" w:leader="none"/>
        </w:tabs>
      </w:pPr>
      <w:rPr>
        <w:rFonts w:hint="eastAsia"/>
      </w:rPr>
    </w:lvl>
    <w:lvl w:ilvl="4">
      <w:start w:val="1"/>
      <w:numFmt w:val="decimal"/>
      <w:isLgl w:val="false"/>
      <w:suff w:val="tab"/>
      <w:lvlText w:val="%1.%2.%3.%4.%5"/>
      <w:lvlJc w:val="left"/>
      <w:pPr>
        <w:pStyle w:val="1270"/>
        <w:ind w:left="900" w:hanging="900"/>
        <w:tabs>
          <w:tab w:val="num" w:pos="900" w:leader="none"/>
        </w:tabs>
      </w:pPr>
      <w:rPr>
        <w:rFonts w:hint="eastAsia"/>
      </w:rPr>
    </w:lvl>
    <w:lvl w:ilvl="5">
      <w:start w:val="1"/>
      <w:numFmt w:val="decimal"/>
      <w:isLgl w:val="false"/>
      <w:suff w:val="tab"/>
      <w:lvlText w:val="%1.%2.%3.%4.%5.%6"/>
      <w:lvlJc w:val="left"/>
      <w:pPr>
        <w:pStyle w:val="1270"/>
        <w:ind w:left="900" w:hanging="900"/>
        <w:tabs>
          <w:tab w:val="num" w:pos="900" w:leader="none"/>
        </w:tabs>
      </w:pPr>
      <w:rPr>
        <w:rFonts w:hint="eastAsia"/>
      </w:rPr>
    </w:lvl>
    <w:lvl w:ilvl="6">
      <w:start w:val="1"/>
      <w:numFmt w:val="decimal"/>
      <w:isLgl w:val="false"/>
      <w:suff w:val="tab"/>
      <w:lvlText w:val="%1.%2.%3.%4.%5.%6.%7"/>
      <w:lvlJc w:val="left"/>
      <w:pPr>
        <w:pStyle w:val="1270"/>
        <w:ind w:left="900" w:hanging="900"/>
        <w:tabs>
          <w:tab w:val="num" w:pos="900" w:leader="none"/>
        </w:tabs>
      </w:pPr>
      <w:rPr>
        <w:rFonts w:hint="eastAsia"/>
      </w:rPr>
    </w:lvl>
    <w:lvl w:ilvl="7">
      <w:start w:val="1"/>
      <w:numFmt w:val="decimal"/>
      <w:isLgl w:val="false"/>
      <w:suff w:val="tab"/>
      <w:lvlText w:val="%1.%2.%3.%4.%5.%6.%7.%8"/>
      <w:lvlJc w:val="left"/>
      <w:pPr>
        <w:pStyle w:val="1270"/>
        <w:ind w:left="900" w:hanging="900"/>
        <w:tabs>
          <w:tab w:val="num" w:pos="900" w:leader="none"/>
        </w:tabs>
      </w:pPr>
      <w:rPr>
        <w:rFonts w:hint="eastAsia"/>
      </w:rPr>
    </w:lvl>
    <w:lvl w:ilvl="8">
      <w:start w:val="1"/>
      <w:numFmt w:val="decimal"/>
      <w:isLgl w:val="false"/>
      <w:suff w:val="tab"/>
      <w:lvlText w:val="%1.%2.%3.%4.%5.%6.%7.%8.%9"/>
      <w:lvlJc w:val="left"/>
      <w:pPr>
        <w:pStyle w:val="1270"/>
        <w:ind w:left="900" w:hanging="900"/>
        <w:tabs>
          <w:tab w:val="num" w:pos="900" w:leader="none"/>
        </w:tabs>
      </w:pPr>
      <w:rPr>
        <w:rFonts w:hint="eastAsia"/>
      </w:rPr>
    </w:lvl>
  </w:abstractNum>
  <w:abstractNum w:abstractNumId="7">
    <w:multiLevelType w:val="hybridMultilevel"/>
    <w:lvl w:ilvl="0">
      <w:start w:val="1"/>
      <w:numFmt w:val="decimal"/>
      <w:pStyle w:val="1571"/>
      <w:isLgl w:val="false"/>
      <w:suff w:val="tab"/>
      <w:lvlText w:val="%1."/>
      <w:lvlJc w:val="left"/>
      <w:pPr>
        <w:pStyle w:val="1270"/>
        <w:ind w:left="420" w:hanging="420"/>
      </w:pPr>
    </w:lvl>
    <w:lvl w:ilvl="1">
      <w:start w:val="1"/>
      <w:numFmt w:val="decimal"/>
      <w:isLgl w:val="false"/>
      <w:suff w:val="tab"/>
      <w:lvlText w:val="（%2）"/>
      <w:lvlJc w:val="left"/>
      <w:pPr>
        <w:pStyle w:val="1270"/>
        <w:ind w:left="1140" w:hanging="720"/>
        <w:tabs>
          <w:tab w:val="num" w:pos="1140" w:leader="none"/>
        </w:tabs>
      </w:pPr>
      <w:rPr>
        <w:rFonts w:hint="eastAsia"/>
      </w:rPr>
    </w:lvl>
    <w:lvl w:ilvl="2">
      <w:start w:val="1"/>
      <w:numFmt w:val="lowerRoman"/>
      <w:isLgl w:val="false"/>
      <w:suff w:val="tab"/>
      <w:lvlText w:val="%3."/>
      <w:lvlJc w:val="right"/>
      <w:pPr>
        <w:pStyle w:val="1270"/>
        <w:ind w:left="1260" w:hanging="420"/>
      </w:pPr>
    </w:lvl>
    <w:lvl w:ilvl="3">
      <w:start w:val="1"/>
      <w:numFmt w:val="decimal"/>
      <w:isLgl w:val="false"/>
      <w:suff w:val="tab"/>
      <w:lvlText w:val="%4."/>
      <w:lvlJc w:val="left"/>
      <w:pPr>
        <w:pStyle w:val="1270"/>
        <w:ind w:left="1680" w:hanging="420"/>
      </w:pPr>
    </w:lvl>
    <w:lvl w:ilvl="4">
      <w:start w:val="1"/>
      <w:numFmt w:val="lowerLetter"/>
      <w:isLgl w:val="false"/>
      <w:suff w:val="tab"/>
      <w:lvlText w:val="%5)"/>
      <w:lvlJc w:val="left"/>
      <w:pPr>
        <w:pStyle w:val="1270"/>
        <w:ind w:left="2100" w:hanging="420"/>
      </w:pPr>
    </w:lvl>
    <w:lvl w:ilvl="5">
      <w:start w:val="1"/>
      <w:numFmt w:val="lowerRoman"/>
      <w:isLgl w:val="false"/>
      <w:suff w:val="tab"/>
      <w:lvlText w:val="%6."/>
      <w:lvlJc w:val="right"/>
      <w:pPr>
        <w:pStyle w:val="1270"/>
        <w:ind w:left="2520" w:hanging="420"/>
      </w:pPr>
    </w:lvl>
    <w:lvl w:ilvl="6">
      <w:start w:val="1"/>
      <w:numFmt w:val="decimal"/>
      <w:isLgl w:val="false"/>
      <w:suff w:val="tab"/>
      <w:lvlText w:val="%7."/>
      <w:lvlJc w:val="left"/>
      <w:pPr>
        <w:pStyle w:val="1270"/>
        <w:ind w:left="2940" w:hanging="420"/>
      </w:pPr>
    </w:lvl>
    <w:lvl w:ilvl="7">
      <w:start w:val="1"/>
      <w:numFmt w:val="lowerLetter"/>
      <w:isLgl w:val="false"/>
      <w:suff w:val="tab"/>
      <w:lvlText w:val="%8)"/>
      <w:lvlJc w:val="left"/>
      <w:pPr>
        <w:pStyle w:val="1270"/>
        <w:ind w:left="3360" w:hanging="420"/>
      </w:pPr>
    </w:lvl>
    <w:lvl w:ilvl="8">
      <w:start w:val="1"/>
      <w:numFmt w:val="lowerRoman"/>
      <w:isLgl w:val="false"/>
      <w:suff w:val="tab"/>
      <w:lvlText w:val="%9."/>
      <w:lvlJc w:val="right"/>
      <w:pPr>
        <w:pStyle w:val="1270"/>
        <w:ind w:left="3780" w:hanging="420"/>
      </w:pPr>
    </w:lvl>
  </w:abstractNum>
  <w:abstractNum w:abstractNumId="8">
    <w:multiLevelType w:val="hybridMultilevel"/>
    <w:lvl w:ilvl="0">
      <w:start w:val="1"/>
      <w:numFmt w:val="decimal"/>
      <w:pStyle w:val="1615"/>
      <w:isLgl w:val="false"/>
      <w:suff w:val="tab"/>
      <w:lvlText w:val="%1."/>
      <w:lvlJc w:val="left"/>
      <w:pPr>
        <w:pStyle w:val="1270"/>
        <w:ind w:left="360" w:hanging="360"/>
        <w:tabs>
          <w:tab w:val="num" w:pos="360" w:leader="none"/>
        </w:tabs>
      </w:pPr>
    </w:lvl>
    <w:lvl w:ilvl="1">
      <w:start w:val="1"/>
      <w:numFmt w:val="bullet"/>
      <w:isLgl w:val="false"/>
      <w:suff w:val="tab"/>
      <w:lvlText w:val="o"/>
      <w:lvlJc w:val="left"/>
      <w:pPr>
        <w:pStyle w:val="1270"/>
        <w:ind w:left="1440" w:hanging="360"/>
      </w:pPr>
      <w:rPr>
        <w:rFonts w:ascii="Courier New" w:hAnsi="Courier New" w:eastAsia="Courier New" w:cs="Courier New"/>
      </w:rPr>
    </w:lvl>
    <w:lvl w:ilvl="2">
      <w:start w:val="1"/>
      <w:numFmt w:val="bullet"/>
      <w:isLgl w:val="false"/>
      <w:suff w:val="tab"/>
      <w:lvlText w:val="§"/>
      <w:lvlJc w:val="left"/>
      <w:pPr>
        <w:pStyle w:val="1270"/>
        <w:ind w:left="2160" w:hanging="360"/>
      </w:pPr>
      <w:rPr>
        <w:rFonts w:ascii="Wingdings" w:hAnsi="Wingdings" w:eastAsia="Wingdings" w:cs="Wingdings"/>
      </w:rPr>
    </w:lvl>
    <w:lvl w:ilvl="3">
      <w:start w:val="1"/>
      <w:numFmt w:val="bullet"/>
      <w:isLgl w:val="false"/>
      <w:suff w:val="tab"/>
      <w:lvlText w:val="·"/>
      <w:lvlJc w:val="left"/>
      <w:pPr>
        <w:pStyle w:val="1270"/>
        <w:ind w:left="2880" w:hanging="360"/>
      </w:pPr>
      <w:rPr>
        <w:rFonts w:ascii="Symbol" w:hAnsi="Symbol" w:eastAsia="Symbol" w:cs="Symbol"/>
      </w:rPr>
    </w:lvl>
    <w:lvl w:ilvl="4">
      <w:start w:val="1"/>
      <w:numFmt w:val="bullet"/>
      <w:isLgl w:val="false"/>
      <w:suff w:val="tab"/>
      <w:lvlText w:val="o"/>
      <w:lvlJc w:val="left"/>
      <w:pPr>
        <w:pStyle w:val="1270"/>
        <w:ind w:left="3600" w:hanging="360"/>
      </w:pPr>
      <w:rPr>
        <w:rFonts w:ascii="Courier New" w:hAnsi="Courier New" w:eastAsia="Courier New" w:cs="Courier New"/>
      </w:rPr>
    </w:lvl>
    <w:lvl w:ilvl="5">
      <w:start w:val="1"/>
      <w:numFmt w:val="bullet"/>
      <w:isLgl w:val="false"/>
      <w:suff w:val="tab"/>
      <w:lvlText w:val="§"/>
      <w:lvlJc w:val="left"/>
      <w:pPr>
        <w:pStyle w:val="1270"/>
        <w:ind w:left="4320" w:hanging="360"/>
      </w:pPr>
      <w:rPr>
        <w:rFonts w:ascii="Wingdings" w:hAnsi="Wingdings" w:eastAsia="Wingdings" w:cs="Wingdings"/>
      </w:rPr>
    </w:lvl>
    <w:lvl w:ilvl="6">
      <w:start w:val="1"/>
      <w:numFmt w:val="bullet"/>
      <w:isLgl w:val="false"/>
      <w:suff w:val="tab"/>
      <w:lvlText w:val="·"/>
      <w:lvlJc w:val="left"/>
      <w:pPr>
        <w:pStyle w:val="1270"/>
        <w:ind w:left="5040" w:hanging="360"/>
      </w:pPr>
      <w:rPr>
        <w:rFonts w:ascii="Symbol" w:hAnsi="Symbol" w:eastAsia="Symbol" w:cs="Symbol"/>
      </w:rPr>
    </w:lvl>
    <w:lvl w:ilvl="7">
      <w:start w:val="1"/>
      <w:numFmt w:val="bullet"/>
      <w:isLgl w:val="false"/>
      <w:suff w:val="tab"/>
      <w:lvlText w:val="o"/>
      <w:lvlJc w:val="left"/>
      <w:pPr>
        <w:pStyle w:val="1270"/>
        <w:ind w:left="5760" w:hanging="360"/>
      </w:pPr>
      <w:rPr>
        <w:rFonts w:ascii="Courier New" w:hAnsi="Courier New" w:eastAsia="Courier New" w:cs="Courier New"/>
      </w:rPr>
    </w:lvl>
    <w:lvl w:ilvl="8">
      <w:start w:val="1"/>
      <w:numFmt w:val="bullet"/>
      <w:isLgl w:val="false"/>
      <w:suff w:val="tab"/>
      <w:lvlText w:val="§"/>
      <w:lvlJc w:val="left"/>
      <w:pPr>
        <w:pStyle w:val="1270"/>
        <w:ind w:left="6480" w:hanging="360"/>
      </w:pPr>
      <w:rPr>
        <w:rFonts w:ascii="Wingdings" w:hAnsi="Wingdings" w:eastAsia="Wingdings" w:cs="Wingdings"/>
      </w:rPr>
    </w:lvl>
  </w:abstractNum>
  <w:abstractNum w:abstractNumId="9">
    <w:multiLevelType w:val="hybridMultilevel"/>
    <w:lvl w:ilvl="0">
      <w:start w:val="1"/>
      <w:numFmt w:val="lowerLetter"/>
      <w:pStyle w:val="1645"/>
      <w:isLgl w:val="false"/>
      <w:suff w:val="tab"/>
      <w:lvlText w:val="%1)"/>
      <w:lvlJc w:val="left"/>
      <w:pPr>
        <w:pStyle w:val="1270"/>
        <w:ind w:left="902" w:hanging="420"/>
      </w:pPr>
      <w:rPr>
        <w:color w:val="000000"/>
      </w:rPr>
    </w:lvl>
    <w:lvl w:ilvl="1">
      <w:start w:val="1"/>
      <w:numFmt w:val="lowerLetter"/>
      <w:isLgl w:val="false"/>
      <w:suff w:val="tab"/>
      <w:lvlText w:val="%2)"/>
      <w:lvlJc w:val="left"/>
      <w:pPr>
        <w:pStyle w:val="1270"/>
        <w:ind w:left="1322" w:hanging="420"/>
      </w:pPr>
    </w:lvl>
    <w:lvl w:ilvl="2">
      <w:start w:val="1"/>
      <w:numFmt w:val="lowerRoman"/>
      <w:isLgl w:val="false"/>
      <w:suff w:val="tab"/>
      <w:lvlText w:val="%3."/>
      <w:lvlJc w:val="right"/>
      <w:pPr>
        <w:pStyle w:val="1270"/>
        <w:ind w:left="1742" w:hanging="420"/>
      </w:pPr>
    </w:lvl>
    <w:lvl w:ilvl="3">
      <w:start w:val="1"/>
      <w:numFmt w:val="decimal"/>
      <w:isLgl w:val="false"/>
      <w:suff w:val="tab"/>
      <w:lvlText w:val="%4."/>
      <w:lvlJc w:val="left"/>
      <w:pPr>
        <w:pStyle w:val="1270"/>
        <w:ind w:left="2162" w:hanging="420"/>
      </w:pPr>
    </w:lvl>
    <w:lvl w:ilvl="4">
      <w:start w:val="1"/>
      <w:numFmt w:val="lowerLetter"/>
      <w:isLgl w:val="false"/>
      <w:suff w:val="tab"/>
      <w:lvlText w:val="%5)"/>
      <w:lvlJc w:val="left"/>
      <w:pPr>
        <w:pStyle w:val="1270"/>
        <w:ind w:left="2582" w:hanging="420"/>
      </w:pPr>
    </w:lvl>
    <w:lvl w:ilvl="5">
      <w:start w:val="1"/>
      <w:numFmt w:val="lowerRoman"/>
      <w:isLgl w:val="false"/>
      <w:suff w:val="tab"/>
      <w:lvlText w:val="%6."/>
      <w:lvlJc w:val="right"/>
      <w:pPr>
        <w:pStyle w:val="1270"/>
        <w:ind w:left="3002" w:hanging="420"/>
      </w:pPr>
    </w:lvl>
    <w:lvl w:ilvl="6">
      <w:start w:val="1"/>
      <w:numFmt w:val="decimal"/>
      <w:isLgl w:val="false"/>
      <w:suff w:val="tab"/>
      <w:lvlText w:val="%7."/>
      <w:lvlJc w:val="left"/>
      <w:pPr>
        <w:pStyle w:val="1270"/>
        <w:ind w:left="3422" w:hanging="420"/>
      </w:pPr>
    </w:lvl>
    <w:lvl w:ilvl="7">
      <w:start w:val="1"/>
      <w:numFmt w:val="lowerLetter"/>
      <w:isLgl w:val="false"/>
      <w:suff w:val="tab"/>
      <w:lvlText w:val="%8)"/>
      <w:lvlJc w:val="left"/>
      <w:pPr>
        <w:pStyle w:val="1270"/>
        <w:ind w:left="3842" w:hanging="420"/>
      </w:pPr>
    </w:lvl>
    <w:lvl w:ilvl="8">
      <w:start w:val="1"/>
      <w:numFmt w:val="lowerRoman"/>
      <w:isLgl w:val="false"/>
      <w:suff w:val="tab"/>
      <w:lvlText w:val="%9."/>
      <w:lvlJc w:val="right"/>
      <w:pPr>
        <w:pStyle w:val="1270"/>
        <w:ind w:left="4262" w:hanging="420"/>
      </w:pPr>
    </w:lvl>
  </w:abstractNum>
  <w:abstractNum w:abstractNumId="10">
    <w:multiLevelType w:val="hybridMultilevel"/>
    <w:lvl w:ilvl="0">
      <w:start w:val="1"/>
      <w:numFmt w:val="japaneseCounting"/>
      <w:isLgl w:val="false"/>
      <w:suff w:val="tab"/>
      <w:lvlText w:val="%1、"/>
      <w:lvlJc w:val="left"/>
      <w:pPr>
        <w:pStyle w:val="1270"/>
        <w:ind w:left="500" w:hanging="500"/>
      </w:pPr>
    </w:lvl>
    <w:lvl w:ilvl="1">
      <w:start w:val="1"/>
      <w:numFmt w:val="lowerLetter"/>
      <w:isLgl w:val="false"/>
      <w:suff w:val="tab"/>
      <w:lvlText w:val="%2)"/>
      <w:lvlJc w:val="left"/>
      <w:pPr>
        <w:pStyle w:val="1270"/>
        <w:ind w:left="840" w:hanging="420"/>
      </w:pPr>
    </w:lvl>
    <w:lvl w:ilvl="2">
      <w:start w:val="1"/>
      <w:numFmt w:val="lowerRoman"/>
      <w:isLgl w:val="false"/>
      <w:suff w:val="tab"/>
      <w:lvlText w:val="%3."/>
      <w:lvlJc w:val="right"/>
      <w:pPr>
        <w:pStyle w:val="1270"/>
        <w:ind w:left="1260" w:hanging="420"/>
      </w:pPr>
    </w:lvl>
    <w:lvl w:ilvl="3">
      <w:start w:val="1"/>
      <w:numFmt w:val="decimal"/>
      <w:isLgl w:val="false"/>
      <w:suff w:val="tab"/>
      <w:lvlText w:val="%4."/>
      <w:lvlJc w:val="left"/>
      <w:pPr>
        <w:pStyle w:val="1270"/>
        <w:ind w:left="1680" w:hanging="420"/>
      </w:pPr>
    </w:lvl>
    <w:lvl w:ilvl="4">
      <w:start w:val="1"/>
      <w:numFmt w:val="lowerLetter"/>
      <w:isLgl w:val="false"/>
      <w:suff w:val="tab"/>
      <w:lvlText w:val="%5)"/>
      <w:lvlJc w:val="left"/>
      <w:pPr>
        <w:pStyle w:val="1270"/>
        <w:ind w:left="2100" w:hanging="420"/>
      </w:pPr>
    </w:lvl>
    <w:lvl w:ilvl="5">
      <w:start w:val="1"/>
      <w:numFmt w:val="lowerRoman"/>
      <w:isLgl w:val="false"/>
      <w:suff w:val="tab"/>
      <w:lvlText w:val="%6."/>
      <w:lvlJc w:val="right"/>
      <w:pPr>
        <w:pStyle w:val="1270"/>
        <w:ind w:left="2520" w:hanging="420"/>
      </w:pPr>
    </w:lvl>
    <w:lvl w:ilvl="6">
      <w:start w:val="1"/>
      <w:numFmt w:val="decimal"/>
      <w:isLgl w:val="false"/>
      <w:suff w:val="tab"/>
      <w:lvlText w:val="%7."/>
      <w:lvlJc w:val="left"/>
      <w:pPr>
        <w:pStyle w:val="1270"/>
        <w:ind w:left="2940" w:hanging="420"/>
      </w:pPr>
    </w:lvl>
    <w:lvl w:ilvl="7">
      <w:start w:val="1"/>
      <w:numFmt w:val="lowerLetter"/>
      <w:isLgl w:val="false"/>
      <w:suff w:val="tab"/>
      <w:lvlText w:val="%8)"/>
      <w:lvlJc w:val="left"/>
      <w:pPr>
        <w:pStyle w:val="1270"/>
        <w:ind w:left="3360" w:hanging="420"/>
      </w:pPr>
    </w:lvl>
    <w:lvl w:ilvl="8">
      <w:start w:val="1"/>
      <w:numFmt w:val="lowerRoman"/>
      <w:isLgl w:val="false"/>
      <w:suff w:val="tab"/>
      <w:lvlText w:val="%9."/>
      <w:lvlJc w:val="right"/>
      <w:pPr>
        <w:pStyle w:val="1270"/>
        <w:ind w:left="3780" w:hanging="420"/>
      </w:pPr>
    </w:lvl>
  </w:abstractNum>
  <w:abstractNum w:abstractNumId="11">
    <w:multiLevelType w:val="hybridMultilevel"/>
    <w:lvl w:ilvl="0">
      <w:start w:val="2"/>
      <w:numFmt w:val="chineseCounting"/>
      <w:isLgl w:val="false"/>
      <w:suff w:val="nothing"/>
      <w:lvlText w:val="%1、"/>
      <w:lvlJc w:val="left"/>
      <w:pPr>
        <w:pStyle w:val="1270"/>
      </w:pPr>
      <w:rPr>
        <w:rFonts w:hint="eastAsia"/>
      </w:rPr>
    </w:lvl>
    <w:lvl w:ilvl="1">
      <w:start w:val="1"/>
      <w:numFmt w:val="bullet"/>
      <w:isLgl w:val="false"/>
      <w:suff w:val="tab"/>
      <w:lvlText w:val="o"/>
      <w:lvlJc w:val="left"/>
      <w:pPr>
        <w:pStyle w:val="1270"/>
        <w:ind w:left="1440" w:hanging="360"/>
      </w:pPr>
      <w:rPr>
        <w:rFonts w:ascii="Courier New" w:hAnsi="Courier New" w:eastAsia="Courier New" w:cs="Courier New"/>
      </w:rPr>
    </w:lvl>
    <w:lvl w:ilvl="2">
      <w:start w:val="1"/>
      <w:numFmt w:val="bullet"/>
      <w:isLgl w:val="false"/>
      <w:suff w:val="tab"/>
      <w:lvlText w:val="§"/>
      <w:lvlJc w:val="left"/>
      <w:pPr>
        <w:pStyle w:val="1270"/>
        <w:ind w:left="2160" w:hanging="360"/>
      </w:pPr>
      <w:rPr>
        <w:rFonts w:ascii="Wingdings" w:hAnsi="Wingdings" w:eastAsia="Wingdings" w:cs="Wingdings"/>
      </w:rPr>
    </w:lvl>
    <w:lvl w:ilvl="3">
      <w:start w:val="1"/>
      <w:numFmt w:val="bullet"/>
      <w:isLgl w:val="false"/>
      <w:suff w:val="tab"/>
      <w:lvlText w:val="·"/>
      <w:lvlJc w:val="left"/>
      <w:pPr>
        <w:pStyle w:val="1270"/>
        <w:ind w:left="2880" w:hanging="360"/>
      </w:pPr>
      <w:rPr>
        <w:rFonts w:ascii="Symbol" w:hAnsi="Symbol" w:eastAsia="Symbol" w:cs="Symbol"/>
      </w:rPr>
    </w:lvl>
    <w:lvl w:ilvl="4">
      <w:start w:val="1"/>
      <w:numFmt w:val="bullet"/>
      <w:isLgl w:val="false"/>
      <w:suff w:val="tab"/>
      <w:lvlText w:val="o"/>
      <w:lvlJc w:val="left"/>
      <w:pPr>
        <w:pStyle w:val="1270"/>
        <w:ind w:left="3600" w:hanging="360"/>
      </w:pPr>
      <w:rPr>
        <w:rFonts w:ascii="Courier New" w:hAnsi="Courier New" w:eastAsia="Courier New" w:cs="Courier New"/>
      </w:rPr>
    </w:lvl>
    <w:lvl w:ilvl="5">
      <w:start w:val="1"/>
      <w:numFmt w:val="bullet"/>
      <w:isLgl w:val="false"/>
      <w:suff w:val="tab"/>
      <w:lvlText w:val="§"/>
      <w:lvlJc w:val="left"/>
      <w:pPr>
        <w:pStyle w:val="1270"/>
        <w:ind w:left="4320" w:hanging="360"/>
      </w:pPr>
      <w:rPr>
        <w:rFonts w:ascii="Wingdings" w:hAnsi="Wingdings" w:eastAsia="Wingdings" w:cs="Wingdings"/>
      </w:rPr>
    </w:lvl>
    <w:lvl w:ilvl="6">
      <w:start w:val="1"/>
      <w:numFmt w:val="bullet"/>
      <w:isLgl w:val="false"/>
      <w:suff w:val="tab"/>
      <w:lvlText w:val="·"/>
      <w:lvlJc w:val="left"/>
      <w:pPr>
        <w:pStyle w:val="1270"/>
        <w:ind w:left="5040" w:hanging="360"/>
      </w:pPr>
      <w:rPr>
        <w:rFonts w:ascii="Symbol" w:hAnsi="Symbol" w:eastAsia="Symbol" w:cs="Symbol"/>
      </w:rPr>
    </w:lvl>
    <w:lvl w:ilvl="7">
      <w:start w:val="1"/>
      <w:numFmt w:val="bullet"/>
      <w:isLgl w:val="false"/>
      <w:suff w:val="tab"/>
      <w:lvlText w:val="o"/>
      <w:lvlJc w:val="left"/>
      <w:pPr>
        <w:pStyle w:val="1270"/>
        <w:ind w:left="5760" w:hanging="360"/>
      </w:pPr>
      <w:rPr>
        <w:rFonts w:ascii="Courier New" w:hAnsi="Courier New" w:eastAsia="Courier New" w:cs="Courier New"/>
      </w:rPr>
    </w:lvl>
    <w:lvl w:ilvl="8">
      <w:start w:val="1"/>
      <w:numFmt w:val="bullet"/>
      <w:isLgl w:val="false"/>
      <w:suff w:val="tab"/>
      <w:lvlText w:val="§"/>
      <w:lvlJc w:val="left"/>
      <w:pPr>
        <w:pStyle w:val="1270"/>
        <w:ind w:left="6480" w:hanging="360"/>
      </w:pPr>
      <w:rPr>
        <w:rFonts w:ascii="Wingdings" w:hAnsi="Wingdings" w:eastAsia="Wingdings" w:cs="Wingdings"/>
      </w:rPr>
    </w:lvl>
  </w:abstractNum>
  <w:abstractNum w:abstractNumId="12">
    <w:multiLevelType w:val="hybridMultilevel"/>
    <w:lvl w:ilvl="0">
      <w:start w:val="1"/>
      <w:numFmt w:val="decimal"/>
      <w:pStyle w:val="1565"/>
      <w:isLgl w:val="false"/>
      <w:suff w:val="nothing"/>
      <w:lvlText w:val="%1　"/>
      <w:lvlJc w:val="left"/>
      <w:pPr>
        <w:pStyle w:val="12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2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270"/>
        <w:ind w:left="-25" w:firstLine="0"/>
      </w:pPr>
      <w:rPr>
        <w:rFonts w:ascii="Times New Roman" w:hAnsi="Times New Roman" w:eastAsia="黑体"/>
        <w:b/>
        <w:i w:val="0"/>
        <w:sz w:val="28"/>
      </w:rPr>
    </w:lvl>
    <w:lvl w:ilvl="3">
      <w:start w:val="1"/>
      <w:numFmt w:val="decimal"/>
      <w:pStyle w:val="1600"/>
      <w:isLgl w:val="false"/>
      <w:suff w:val="nothing"/>
      <w:lvlText w:val="%1.%2.%3.%4　"/>
      <w:lvlJc w:val="left"/>
      <w:pPr>
        <w:pStyle w:val="12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2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270"/>
        <w:ind w:left="-25" w:firstLine="0"/>
      </w:pPr>
      <w:rPr>
        <w:rFonts w:ascii="Times New Roman" w:hAnsi="Times New Roman" w:eastAsia="宋体"/>
        <w:b/>
        <w:i w:val="0"/>
        <w:sz w:val="28"/>
      </w:rPr>
    </w:lvl>
    <w:lvl w:ilvl="6">
      <w:start w:val="1"/>
      <w:numFmt w:val="lowerLetter"/>
      <w:pStyle w:val="1621"/>
      <w:isLgl w:val="false"/>
      <w:suff w:val="tab"/>
      <w:lvlText w:val="%7) "/>
      <w:lvlJc w:val="left"/>
      <w:pPr>
        <w:pStyle w:val="1270"/>
        <w:ind w:left="-125" w:firstLine="400"/>
        <w:tabs>
          <w:tab w:val="num" w:pos="635" w:leader="none"/>
        </w:tabs>
      </w:pPr>
      <w:rPr>
        <w:rFonts w:ascii="Times New Roman" w:hAnsi="Times New Roman" w:eastAsia="宋体"/>
        <w:b/>
        <w:i w:val="0"/>
        <w:color w:val="000000"/>
        <w:sz w:val="28"/>
        <w:u w:val="none"/>
      </w:rPr>
    </w:lvl>
    <w:lvl w:ilvl="7">
      <w:start w:val="1"/>
      <w:numFmt w:val="decimal"/>
      <w:pStyle w:val="1584"/>
      <w:isLgl w:val="false"/>
      <w:suff w:val="tab"/>
      <w:lvlText w:val="%8) "/>
      <w:lvlJc w:val="left"/>
      <w:pPr>
        <w:pStyle w:val="12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270"/>
        <w:ind w:left="500" w:firstLine="0"/>
        <w:tabs>
          <w:tab w:val="num" w:pos="860" w:leader="none"/>
        </w:tabs>
      </w:pPr>
      <w:rPr>
        <w:rFonts w:hint="eastAsia" w:ascii="宋体" w:eastAsia="宋体"/>
        <w:b w:val="0"/>
        <w:i w:val="0"/>
        <w:color w:val="000000"/>
        <w:sz w:val="28"/>
        <w:u w:val="none"/>
      </w:rPr>
    </w:lvl>
  </w:abstractNum>
  <w:abstractNum w:abstractNumId="13">
    <w:multiLevelType w:val="hybridMultilevel"/>
    <w:lvl w:ilvl="0">
      <w:start w:val="1"/>
      <w:numFmt w:val="decimal"/>
      <w:isLgl w:val="false"/>
      <w:suff w:val="tab"/>
      <w:lvlText w:val="%1．"/>
      <w:lvlJc w:val="left"/>
      <w:pPr>
        <w:pStyle w:val="1270"/>
        <w:ind w:left="768" w:hanging="360"/>
        <w:tabs>
          <w:tab w:val="num" w:pos="768" w:leader="none"/>
        </w:tabs>
      </w:pPr>
      <w:rPr>
        <w:rFonts w:hint="eastAsia"/>
      </w:rPr>
    </w:lvl>
    <w:lvl w:ilvl="1">
      <w:start w:val="1"/>
      <w:numFmt w:val="decimal"/>
      <w:pStyle w:val="1602"/>
      <w:isLgl w:val="false"/>
      <w:suff w:val="tab"/>
      <w:lvlText w:val="%2、"/>
      <w:lvlJc w:val="left"/>
      <w:pPr>
        <w:pStyle w:val="1270"/>
        <w:ind w:left="1188" w:hanging="360"/>
        <w:tabs>
          <w:tab w:val="num" w:pos="1188" w:leader="none"/>
        </w:tabs>
      </w:pPr>
      <w:rPr>
        <w:rFonts w:hint="eastAsia"/>
      </w:rPr>
    </w:lvl>
    <w:lvl w:ilvl="2">
      <w:start w:val="1"/>
      <w:numFmt w:val="decimal"/>
      <w:isLgl w:val="false"/>
      <w:suff w:val="tab"/>
      <w:lvlText w:val="（%3）"/>
      <w:lvlJc w:val="left"/>
      <w:pPr>
        <w:pStyle w:val="1270"/>
        <w:ind w:left="1968" w:hanging="720"/>
        <w:tabs>
          <w:tab w:val="num" w:pos="1968" w:leader="none"/>
        </w:tabs>
      </w:pPr>
      <w:rPr>
        <w:rFonts w:hint="eastAsia"/>
        <w:u w:val="none"/>
      </w:rPr>
    </w:lvl>
    <w:lvl w:ilvl="3">
      <w:start w:val="1"/>
      <w:numFmt w:val="decimal"/>
      <w:isLgl w:val="false"/>
      <w:suff w:val="tab"/>
      <w:lvlText w:val="%4."/>
      <w:lvlJc w:val="left"/>
      <w:pPr>
        <w:pStyle w:val="1270"/>
        <w:ind w:left="2088" w:hanging="420"/>
        <w:tabs>
          <w:tab w:val="num" w:pos="2088" w:leader="none"/>
        </w:tabs>
      </w:pPr>
    </w:lvl>
    <w:lvl w:ilvl="4">
      <w:start w:val="1"/>
      <w:numFmt w:val="lowerLetter"/>
      <w:isLgl w:val="false"/>
      <w:suff w:val="tab"/>
      <w:lvlText w:val="%5)"/>
      <w:lvlJc w:val="left"/>
      <w:pPr>
        <w:pStyle w:val="1270"/>
        <w:ind w:left="2508" w:hanging="420"/>
        <w:tabs>
          <w:tab w:val="num" w:pos="2508" w:leader="none"/>
        </w:tabs>
      </w:pPr>
    </w:lvl>
    <w:lvl w:ilvl="5">
      <w:start w:val="1"/>
      <w:numFmt w:val="lowerRoman"/>
      <w:isLgl w:val="false"/>
      <w:suff w:val="tab"/>
      <w:lvlText w:val="%6."/>
      <w:lvlJc w:val="right"/>
      <w:pPr>
        <w:pStyle w:val="1270"/>
        <w:ind w:left="2928" w:hanging="420"/>
        <w:tabs>
          <w:tab w:val="num" w:pos="2928" w:leader="none"/>
        </w:tabs>
      </w:pPr>
    </w:lvl>
    <w:lvl w:ilvl="6">
      <w:start w:val="1"/>
      <w:numFmt w:val="decimal"/>
      <w:isLgl w:val="false"/>
      <w:suff w:val="tab"/>
      <w:lvlText w:val="%7."/>
      <w:lvlJc w:val="left"/>
      <w:pPr>
        <w:pStyle w:val="1270"/>
        <w:ind w:left="3348" w:hanging="420"/>
        <w:tabs>
          <w:tab w:val="num" w:pos="3348" w:leader="none"/>
        </w:tabs>
      </w:pPr>
    </w:lvl>
    <w:lvl w:ilvl="7">
      <w:start w:val="1"/>
      <w:numFmt w:val="lowerLetter"/>
      <w:isLgl w:val="false"/>
      <w:suff w:val="tab"/>
      <w:lvlText w:val="%8)"/>
      <w:lvlJc w:val="left"/>
      <w:pPr>
        <w:pStyle w:val="1270"/>
        <w:ind w:left="3768" w:hanging="420"/>
        <w:tabs>
          <w:tab w:val="num" w:pos="3768" w:leader="none"/>
        </w:tabs>
      </w:pPr>
    </w:lvl>
    <w:lvl w:ilvl="8">
      <w:start w:val="1"/>
      <w:numFmt w:val="lowerRoman"/>
      <w:isLgl w:val="false"/>
      <w:suff w:val="tab"/>
      <w:lvlText w:val="%9."/>
      <w:lvlJc w:val="right"/>
      <w:pPr>
        <w:pStyle w:val="1270"/>
        <w:ind w:left="4188" w:hanging="420"/>
        <w:tabs>
          <w:tab w:val="num" w:pos="4188" w:leader="none"/>
        </w:tabs>
      </w:pPr>
    </w:lvl>
  </w:abstractNum>
  <w:num w:numId="1">
    <w:abstractNumId w:val="12"/>
  </w:num>
  <w:num w:numId="2">
    <w:abstractNumId w:val="7"/>
  </w:num>
  <w:num w:numId="3">
    <w:abstractNumId w:val="5"/>
  </w:num>
  <w:num w:numId="4">
    <w:abstractNumId w:val="13"/>
  </w:num>
  <w:num w:numId="5">
    <w:abstractNumId w:val="8"/>
  </w:num>
  <w:num w:numId="6">
    <w:abstractNumId w:val="9"/>
  </w:num>
  <w:num w:numId="7">
    <w:abstractNumId w:val="3"/>
  </w:num>
  <w:num w:numId="8">
    <w:abstractNumId w:val="6"/>
  </w:num>
  <w:num w:numId="9">
    <w:abstractNumId w:val="4"/>
  </w:num>
  <w:num w:numId="10">
    <w:abstractNumId w:val="11"/>
  </w:num>
  <w:num w:numId="11">
    <w:abstractNumId w:val="2"/>
  </w:num>
  <w:num w:numId="12">
    <w:abstractNumId w:val="10"/>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38">
    <w:name w:val="List Paragraph"/>
    <w:basedOn w:val="1270"/>
    <w:uiPriority w:val="34"/>
    <w:qFormat/>
    <w:pPr>
      <w:contextualSpacing/>
      <w:ind w:left="720"/>
    </w:pPr>
  </w:style>
  <w:style w:type="paragraph" w:styleId="1239">
    <w:name w:val="No Spacing"/>
    <w:uiPriority w:val="1"/>
    <w:qFormat/>
    <w:pPr>
      <w:spacing w:before="0" w:after="0" w:line="240" w:lineRule="auto"/>
    </w:pPr>
  </w:style>
  <w:style w:type="paragraph" w:styleId="1240">
    <w:name w:val="Title"/>
    <w:basedOn w:val="1270"/>
    <w:next w:val="1270"/>
    <w:link w:val="1241"/>
    <w:uiPriority w:val="10"/>
    <w:qFormat/>
    <w:pPr>
      <w:contextualSpacing/>
      <w:spacing w:before="300" w:after="200"/>
    </w:pPr>
    <w:rPr>
      <w:sz w:val="48"/>
      <w:szCs w:val="48"/>
    </w:rPr>
  </w:style>
  <w:style w:type="character" w:styleId="1241">
    <w:name w:val="Title Char"/>
    <w:link w:val="1240"/>
    <w:uiPriority w:val="10"/>
    <w:rPr>
      <w:sz w:val="48"/>
      <w:szCs w:val="48"/>
    </w:rPr>
  </w:style>
  <w:style w:type="paragraph" w:styleId="1242">
    <w:name w:val="Subtitle"/>
    <w:basedOn w:val="1270"/>
    <w:next w:val="1270"/>
    <w:link w:val="1243"/>
    <w:uiPriority w:val="11"/>
    <w:qFormat/>
    <w:pPr>
      <w:spacing w:before="200" w:after="200"/>
    </w:pPr>
    <w:rPr>
      <w:sz w:val="24"/>
      <w:szCs w:val="24"/>
    </w:rPr>
  </w:style>
  <w:style w:type="character" w:styleId="1243">
    <w:name w:val="Subtitle Char"/>
    <w:link w:val="1242"/>
    <w:uiPriority w:val="11"/>
    <w:rPr>
      <w:sz w:val="24"/>
      <w:szCs w:val="24"/>
    </w:rPr>
  </w:style>
  <w:style w:type="paragraph" w:styleId="1244">
    <w:name w:val="Quote"/>
    <w:basedOn w:val="1270"/>
    <w:next w:val="1270"/>
    <w:link w:val="1245"/>
    <w:uiPriority w:val="29"/>
    <w:qFormat/>
    <w:pPr>
      <w:ind w:left="720" w:right="720"/>
    </w:pPr>
    <w:rPr>
      <w:i/>
    </w:rPr>
  </w:style>
  <w:style w:type="character" w:styleId="1245">
    <w:name w:val="Quote Char"/>
    <w:link w:val="1244"/>
    <w:uiPriority w:val="29"/>
    <w:rPr>
      <w:i/>
    </w:rPr>
  </w:style>
  <w:style w:type="paragraph" w:styleId="1246">
    <w:name w:val="Intense Quote"/>
    <w:basedOn w:val="1270"/>
    <w:next w:val="1270"/>
    <w:link w:val="12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47">
    <w:name w:val="Intense Quote Char"/>
    <w:link w:val="1246"/>
    <w:uiPriority w:val="30"/>
    <w:rPr>
      <w:i/>
    </w:rPr>
  </w:style>
  <w:style w:type="paragraph" w:styleId="1248">
    <w:name w:val="Header"/>
    <w:basedOn w:val="1270"/>
    <w:link w:val="1338"/>
    <w:uiPriority w:val="99"/>
    <w:unhideWhenUsed/>
    <w:pPr>
      <w:spacing w:after="0" w:line="240" w:lineRule="auto"/>
      <w:tabs>
        <w:tab w:val="center" w:pos="7143" w:leader="none"/>
        <w:tab w:val="right" w:pos="14287" w:leader="none"/>
      </w:tabs>
    </w:pPr>
  </w:style>
  <w:style w:type="paragraph" w:styleId="1249">
    <w:name w:val="Footer"/>
    <w:basedOn w:val="1270"/>
    <w:link w:val="1340"/>
    <w:uiPriority w:val="99"/>
    <w:unhideWhenUsed/>
    <w:pPr>
      <w:spacing w:after="0" w:line="240" w:lineRule="auto"/>
      <w:tabs>
        <w:tab w:val="center" w:pos="7143" w:leader="none"/>
        <w:tab w:val="right" w:pos="14287" w:leader="none"/>
      </w:tabs>
    </w:pPr>
  </w:style>
  <w:style w:type="paragraph" w:styleId="1250">
    <w:name w:val="Caption"/>
    <w:basedOn w:val="1270"/>
    <w:next w:val="1270"/>
    <w:uiPriority w:val="35"/>
    <w:semiHidden/>
    <w:unhideWhenUsed/>
    <w:qFormat/>
    <w:pPr>
      <w:spacing w:line="276" w:lineRule="auto"/>
    </w:pPr>
    <w:rPr>
      <w:b/>
      <w:bCs/>
      <w:color w:val="4f81bd" w:themeColor="accent1"/>
      <w:sz w:val="18"/>
      <w:szCs w:val="18"/>
    </w:rPr>
  </w:style>
  <w:style w:type="table" w:styleId="12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52">
    <w:name w:val="Hyperlink"/>
    <w:uiPriority w:val="99"/>
    <w:unhideWhenUsed/>
    <w:rPr>
      <w:color w:val="0000ff" w:themeColor="hyperlink"/>
      <w:u w:val="single"/>
    </w:rPr>
  </w:style>
  <w:style w:type="paragraph" w:styleId="1253">
    <w:name w:val="footnote text"/>
    <w:basedOn w:val="1270"/>
    <w:link w:val="1254"/>
    <w:uiPriority w:val="99"/>
    <w:semiHidden/>
    <w:unhideWhenUsed/>
    <w:pPr>
      <w:spacing w:after="40" w:line="240" w:lineRule="auto"/>
    </w:pPr>
    <w:rPr>
      <w:sz w:val="18"/>
    </w:rPr>
  </w:style>
  <w:style w:type="character" w:styleId="1254">
    <w:name w:val="Footnote Text Char"/>
    <w:link w:val="1253"/>
    <w:uiPriority w:val="99"/>
    <w:rPr>
      <w:sz w:val="18"/>
    </w:rPr>
  </w:style>
  <w:style w:type="character" w:styleId="1255">
    <w:name w:val="footnote reference"/>
    <w:uiPriority w:val="99"/>
    <w:unhideWhenUsed/>
    <w:rPr>
      <w:vertAlign w:val="superscript"/>
    </w:rPr>
  </w:style>
  <w:style w:type="paragraph" w:styleId="1256">
    <w:name w:val="endnote text"/>
    <w:basedOn w:val="1270"/>
    <w:link w:val="1257"/>
    <w:uiPriority w:val="99"/>
    <w:semiHidden/>
    <w:unhideWhenUsed/>
    <w:pPr>
      <w:spacing w:after="0" w:line="240" w:lineRule="auto"/>
    </w:pPr>
    <w:rPr>
      <w:sz w:val="20"/>
    </w:rPr>
  </w:style>
  <w:style w:type="character" w:styleId="1257">
    <w:name w:val="Endnote Text Char"/>
    <w:link w:val="1256"/>
    <w:uiPriority w:val="99"/>
    <w:rPr>
      <w:sz w:val="20"/>
    </w:rPr>
  </w:style>
  <w:style w:type="character" w:styleId="1258">
    <w:name w:val="endnote reference"/>
    <w:uiPriority w:val="99"/>
    <w:semiHidden/>
    <w:unhideWhenUsed/>
    <w:rPr>
      <w:vertAlign w:val="superscript"/>
    </w:rPr>
  </w:style>
  <w:style w:type="paragraph" w:styleId="1259">
    <w:name w:val="toc 1"/>
    <w:basedOn w:val="1270"/>
    <w:next w:val="1270"/>
    <w:uiPriority w:val="39"/>
    <w:unhideWhenUsed/>
    <w:pPr>
      <w:ind w:left="0" w:right="0" w:firstLine="0"/>
      <w:spacing w:after="57"/>
    </w:pPr>
  </w:style>
  <w:style w:type="paragraph" w:styleId="1260">
    <w:name w:val="toc 2"/>
    <w:basedOn w:val="1270"/>
    <w:next w:val="1270"/>
    <w:uiPriority w:val="39"/>
    <w:unhideWhenUsed/>
    <w:pPr>
      <w:ind w:left="283" w:right="0" w:firstLine="0"/>
      <w:spacing w:after="57"/>
    </w:pPr>
  </w:style>
  <w:style w:type="paragraph" w:styleId="1261">
    <w:name w:val="toc 3"/>
    <w:basedOn w:val="1270"/>
    <w:next w:val="1270"/>
    <w:uiPriority w:val="39"/>
    <w:unhideWhenUsed/>
    <w:pPr>
      <w:ind w:left="567" w:right="0" w:firstLine="0"/>
      <w:spacing w:after="57"/>
    </w:pPr>
  </w:style>
  <w:style w:type="paragraph" w:styleId="1262">
    <w:name w:val="toc 4"/>
    <w:basedOn w:val="1270"/>
    <w:next w:val="1270"/>
    <w:uiPriority w:val="39"/>
    <w:unhideWhenUsed/>
    <w:pPr>
      <w:ind w:left="850" w:right="0" w:firstLine="0"/>
      <w:spacing w:after="57"/>
    </w:pPr>
  </w:style>
  <w:style w:type="paragraph" w:styleId="1263">
    <w:name w:val="toc 5"/>
    <w:basedOn w:val="1270"/>
    <w:next w:val="1270"/>
    <w:uiPriority w:val="39"/>
    <w:unhideWhenUsed/>
    <w:pPr>
      <w:ind w:left="1134" w:right="0" w:firstLine="0"/>
      <w:spacing w:after="57"/>
    </w:pPr>
  </w:style>
  <w:style w:type="paragraph" w:styleId="1264">
    <w:name w:val="toc 6"/>
    <w:basedOn w:val="1270"/>
    <w:next w:val="1270"/>
    <w:uiPriority w:val="39"/>
    <w:unhideWhenUsed/>
    <w:pPr>
      <w:ind w:left="1417" w:right="0" w:firstLine="0"/>
      <w:spacing w:after="57"/>
    </w:pPr>
  </w:style>
  <w:style w:type="paragraph" w:styleId="1265">
    <w:name w:val="toc 7"/>
    <w:basedOn w:val="1270"/>
    <w:next w:val="1270"/>
    <w:uiPriority w:val="39"/>
    <w:unhideWhenUsed/>
    <w:pPr>
      <w:ind w:left="1701" w:right="0" w:firstLine="0"/>
      <w:spacing w:after="57"/>
    </w:pPr>
  </w:style>
  <w:style w:type="paragraph" w:styleId="1266">
    <w:name w:val="toc 8"/>
    <w:basedOn w:val="1270"/>
    <w:next w:val="1270"/>
    <w:uiPriority w:val="39"/>
    <w:unhideWhenUsed/>
    <w:pPr>
      <w:ind w:left="1984" w:right="0" w:firstLine="0"/>
      <w:spacing w:after="57"/>
    </w:pPr>
  </w:style>
  <w:style w:type="paragraph" w:styleId="1267">
    <w:name w:val="toc 9"/>
    <w:basedOn w:val="1270"/>
    <w:next w:val="1270"/>
    <w:uiPriority w:val="39"/>
    <w:unhideWhenUsed/>
    <w:pPr>
      <w:ind w:left="2268" w:right="0" w:firstLine="0"/>
      <w:spacing w:after="57"/>
    </w:pPr>
  </w:style>
  <w:style w:type="paragraph" w:styleId="1268">
    <w:name w:val="TOC Heading"/>
    <w:uiPriority w:val="39"/>
    <w:unhideWhenUsed/>
  </w:style>
  <w:style w:type="paragraph" w:styleId="1269">
    <w:name w:val="table of figures"/>
    <w:basedOn w:val="1270"/>
    <w:next w:val="1270"/>
    <w:uiPriority w:val="99"/>
    <w:unhideWhenUsed/>
    <w:pPr>
      <w:spacing w:after="0" w:afterAutospacing="0"/>
    </w:pPr>
  </w:style>
  <w:style w:type="paragraph" w:styleId="1270" w:default="1">
    <w:name w:val="Normal"/>
    <w:next w:val="1275"/>
    <w:link w:val="1270"/>
    <w:qFormat/>
    <w:pPr>
      <w:jc w:val="both"/>
      <w:widowControl w:val="off"/>
    </w:pPr>
    <w:rPr>
      <w:sz w:val="21"/>
      <w:szCs w:val="24"/>
      <w:lang w:val="en-US" w:eastAsia="zh-CN" w:bidi="ar-SA"/>
    </w:rPr>
  </w:style>
  <w:style w:type="paragraph" w:styleId="1271">
    <w:name w:val="标题 1"/>
    <w:basedOn w:val="1270"/>
    <w:next w:val="1270"/>
    <w:link w:val="1276"/>
    <w:uiPriority w:val="9"/>
    <w:qFormat/>
    <w:pPr>
      <w:keepLines/>
      <w:keepNext/>
      <w:spacing w:before="340" w:after="330" w:line="578" w:lineRule="auto"/>
      <w:outlineLvl w:val="0"/>
    </w:pPr>
    <w:rPr>
      <w:b/>
      <w:bCs/>
      <w:sz w:val="44"/>
      <w:szCs w:val="44"/>
    </w:rPr>
  </w:style>
  <w:style w:type="paragraph" w:styleId="1272">
    <w:name w:val="标题 3"/>
    <w:next w:val="1270"/>
    <w:link w:val="1270"/>
    <w:qFormat/>
    <w:pPr>
      <w:keepLines/>
      <w:keepNext/>
      <w:spacing w:before="360" w:after="120"/>
      <w:widowControl w:val="off"/>
      <w:outlineLvl w:val="2"/>
    </w:pPr>
    <w:rPr>
      <w:rFonts w:ascii="宋体"/>
      <w:b/>
      <w:sz w:val="24"/>
      <w:u w:val="single"/>
      <w:lang w:val="en-US" w:eastAsia="zh-CN" w:bidi="ar-SA"/>
    </w:rPr>
  </w:style>
  <w:style w:type="character" w:styleId="1273">
    <w:name w:val="默认段落字体"/>
    <w:next w:val="1273"/>
    <w:link w:val="1270"/>
    <w:uiPriority w:val="1"/>
    <w:unhideWhenUsed/>
  </w:style>
  <w:style w:type="table" w:styleId="1274">
    <w:name w:val="普通表格"/>
    <w:next w:val="1274"/>
    <w:link w:val="1270"/>
    <w:uiPriority w:val="99"/>
    <w:unhideWhenUsed/>
    <w:tblPr/>
  </w:style>
  <w:style w:type="paragraph" w:styleId="1275">
    <w:name w:val="正文文本"/>
    <w:basedOn w:val="1270"/>
    <w:next w:val="1270"/>
    <w:link w:val="1270"/>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1276">
    <w:name w:val="标题 1 Char"/>
    <w:basedOn w:val="1273"/>
    <w:next w:val="1276"/>
    <w:link w:val="1271"/>
    <w:uiPriority w:val="9"/>
    <w:rPr>
      <w:b/>
      <w:bCs/>
      <w:sz w:val="44"/>
      <w:szCs w:val="44"/>
    </w:rPr>
  </w:style>
  <w:style w:type="paragraph" w:styleId="1277">
    <w:name w:val="目录 7"/>
    <w:basedOn w:val="1270"/>
    <w:next w:val="1270"/>
    <w:link w:val="1270"/>
    <w:uiPriority w:val="39"/>
    <w:unhideWhenUsed/>
    <w:pPr>
      <w:ind w:left="1701" w:right="0" w:firstLine="0"/>
      <w:spacing w:after="57"/>
    </w:pPr>
  </w:style>
  <w:style w:type="paragraph" w:styleId="1278">
    <w:name w:val="正文文本缩进"/>
    <w:next w:val="1275"/>
    <w:link w:val="1270"/>
    <w:qFormat/>
    <w:pPr>
      <w:ind w:firstLine="570"/>
      <w:jc w:val="both"/>
      <w:spacing w:line="360" w:lineRule="auto"/>
      <w:widowControl w:val="off"/>
    </w:pPr>
    <w:rPr>
      <w:sz w:val="24"/>
      <w:szCs w:val="24"/>
      <w:lang w:val="en-US" w:eastAsia="zh-CN" w:bidi="ar-SA"/>
    </w:rPr>
  </w:style>
  <w:style w:type="paragraph" w:styleId="1279">
    <w:name w:val="目录 5"/>
    <w:basedOn w:val="1270"/>
    <w:next w:val="1270"/>
    <w:link w:val="1270"/>
    <w:uiPriority w:val="39"/>
    <w:unhideWhenUsed/>
    <w:pPr>
      <w:ind w:left="1134" w:right="0" w:firstLine="0"/>
      <w:spacing w:after="57"/>
    </w:pPr>
  </w:style>
  <w:style w:type="paragraph" w:styleId="1280">
    <w:name w:val="目录 3"/>
    <w:basedOn w:val="1270"/>
    <w:next w:val="1270"/>
    <w:link w:val="1270"/>
    <w:uiPriority w:val="39"/>
    <w:unhideWhenUsed/>
    <w:pPr>
      <w:ind w:left="567" w:right="0" w:firstLine="0"/>
      <w:spacing w:after="57"/>
    </w:pPr>
  </w:style>
  <w:style w:type="paragraph" w:styleId="1281">
    <w:name w:val="纯文本"/>
    <w:basedOn w:val="1270"/>
    <w:next w:val="1281"/>
    <w:link w:val="1270"/>
    <w:qFormat/>
    <w:rPr>
      <w:rFonts w:ascii="宋体" w:hAnsi="Courier New" w:eastAsia="楷体_GB2312"/>
      <w:sz w:val="26"/>
    </w:rPr>
  </w:style>
  <w:style w:type="paragraph" w:styleId="1282">
    <w:name w:val="目录 8"/>
    <w:basedOn w:val="1270"/>
    <w:next w:val="1270"/>
    <w:link w:val="1270"/>
    <w:uiPriority w:val="39"/>
    <w:unhideWhenUsed/>
    <w:pPr>
      <w:ind w:left="1984" w:right="0" w:firstLine="0"/>
      <w:spacing w:after="57"/>
    </w:pPr>
  </w:style>
  <w:style w:type="paragraph" w:styleId="1283">
    <w:name w:val="尾注文本"/>
    <w:basedOn w:val="1270"/>
    <w:next w:val="1283"/>
    <w:link w:val="1284"/>
    <w:uiPriority w:val="99"/>
    <w:unhideWhenUsed/>
    <w:pPr>
      <w:spacing w:after="0" w:line="240" w:lineRule="auto"/>
    </w:pPr>
    <w:rPr>
      <w:sz w:val="20"/>
      <w:szCs w:val="20"/>
    </w:rPr>
  </w:style>
  <w:style w:type="character" w:styleId="1284">
    <w:name w:val="尾注文本 Char"/>
    <w:next w:val="1284"/>
    <w:link w:val="1283"/>
    <w:uiPriority w:val="99"/>
    <w:rPr>
      <w:sz w:val="20"/>
    </w:rPr>
  </w:style>
  <w:style w:type="paragraph" w:styleId="1285">
    <w:name w:val="页眉"/>
    <w:basedOn w:val="1270"/>
    <w:next w:val="1285"/>
    <w:link w:val="1286"/>
    <w:uiPriority w:val="99"/>
    <w:unhideWhenUsed/>
    <w:pPr>
      <w:jc w:val="center"/>
      <w:tabs>
        <w:tab w:val="center" w:pos="4153" w:leader="none"/>
        <w:tab w:val="right" w:pos="8306" w:leader="none"/>
      </w:tabs>
      <w:pBdr>
        <w:bottom w:val="single" w:color="000000" w:sz="6" w:space="1"/>
      </w:pBdr>
    </w:pPr>
    <w:rPr>
      <w:sz w:val="18"/>
      <w:szCs w:val="18"/>
    </w:rPr>
  </w:style>
  <w:style w:type="character" w:styleId="1286">
    <w:name w:val="页眉 Char1"/>
    <w:basedOn w:val="1273"/>
    <w:next w:val="1286"/>
    <w:link w:val="1285"/>
    <w:uiPriority w:val="99"/>
    <w:semiHidden/>
    <w:rPr>
      <w:sz w:val="18"/>
      <w:szCs w:val="18"/>
    </w:rPr>
  </w:style>
  <w:style w:type="paragraph" w:styleId="1287">
    <w:name w:val="目录 1"/>
    <w:basedOn w:val="1270"/>
    <w:next w:val="1270"/>
    <w:link w:val="1270"/>
    <w:uiPriority w:val="39"/>
    <w:unhideWhenUsed/>
    <w:pPr>
      <w:ind w:left="0" w:right="0" w:firstLine="0"/>
      <w:spacing w:after="57"/>
    </w:pPr>
  </w:style>
  <w:style w:type="paragraph" w:styleId="1288">
    <w:name w:val="目录 4"/>
    <w:basedOn w:val="1270"/>
    <w:next w:val="1270"/>
    <w:link w:val="1270"/>
    <w:uiPriority w:val="39"/>
    <w:unhideWhenUsed/>
    <w:pPr>
      <w:ind w:left="850" w:right="0" w:firstLine="0"/>
      <w:spacing w:after="57"/>
    </w:pPr>
  </w:style>
  <w:style w:type="paragraph" w:styleId="1289">
    <w:name w:val="副标题"/>
    <w:basedOn w:val="1270"/>
    <w:next w:val="1270"/>
    <w:link w:val="1290"/>
    <w:uiPriority w:val="11"/>
    <w:qFormat/>
    <w:pPr>
      <w:spacing w:before="200" w:after="200"/>
    </w:pPr>
    <w:rPr>
      <w:sz w:val="24"/>
    </w:rPr>
  </w:style>
  <w:style w:type="character" w:styleId="1290">
    <w:name w:val="副标题 Char"/>
    <w:next w:val="1290"/>
    <w:link w:val="1289"/>
    <w:uiPriority w:val="11"/>
    <w:rPr>
      <w:sz w:val="24"/>
      <w:szCs w:val="24"/>
    </w:rPr>
  </w:style>
  <w:style w:type="paragraph" w:styleId="1291">
    <w:name w:val="脚注文本"/>
    <w:basedOn w:val="1270"/>
    <w:next w:val="1291"/>
    <w:link w:val="1292"/>
    <w:uiPriority w:val="99"/>
    <w:unhideWhenUsed/>
    <w:pPr>
      <w:spacing w:after="40" w:line="240" w:lineRule="auto"/>
    </w:pPr>
    <w:rPr>
      <w:sz w:val="18"/>
      <w:szCs w:val="20"/>
    </w:rPr>
  </w:style>
  <w:style w:type="character" w:styleId="1292">
    <w:name w:val="脚注文本 Char"/>
    <w:next w:val="1292"/>
    <w:link w:val="1291"/>
    <w:uiPriority w:val="99"/>
    <w:rPr>
      <w:sz w:val="18"/>
    </w:rPr>
  </w:style>
  <w:style w:type="paragraph" w:styleId="1293">
    <w:name w:val="目录 6"/>
    <w:basedOn w:val="1270"/>
    <w:next w:val="1270"/>
    <w:link w:val="1270"/>
    <w:uiPriority w:val="39"/>
    <w:unhideWhenUsed/>
    <w:pPr>
      <w:ind w:left="1417" w:right="0" w:firstLine="0"/>
      <w:spacing w:after="57"/>
    </w:pPr>
  </w:style>
  <w:style w:type="paragraph" w:styleId="1294">
    <w:name w:val="图表目录"/>
    <w:basedOn w:val="1270"/>
    <w:next w:val="1270"/>
    <w:link w:val="1270"/>
    <w:uiPriority w:val="99"/>
    <w:unhideWhenUsed/>
    <w:pPr>
      <w:spacing w:after="0" w:afterAutospacing="0"/>
    </w:pPr>
  </w:style>
  <w:style w:type="paragraph" w:styleId="1295">
    <w:name w:val="目录 2"/>
    <w:basedOn w:val="1270"/>
    <w:next w:val="1270"/>
    <w:link w:val="1270"/>
    <w:uiPriority w:val="39"/>
    <w:unhideWhenUsed/>
    <w:pPr>
      <w:ind w:left="283" w:right="0" w:firstLine="0"/>
      <w:spacing w:after="57"/>
    </w:pPr>
  </w:style>
  <w:style w:type="paragraph" w:styleId="1296">
    <w:name w:val="目录 9"/>
    <w:basedOn w:val="1270"/>
    <w:next w:val="1270"/>
    <w:link w:val="1270"/>
    <w:uiPriority w:val="39"/>
    <w:unhideWhenUsed/>
    <w:pPr>
      <w:ind w:left="2268" w:right="0" w:firstLine="0"/>
      <w:spacing w:after="57"/>
    </w:pPr>
  </w:style>
  <w:style w:type="paragraph" w:styleId="1297">
    <w:name w:val="标题"/>
    <w:basedOn w:val="1270"/>
    <w:next w:val="1270"/>
    <w:link w:val="1298"/>
    <w:uiPriority w:val="10"/>
    <w:qFormat/>
    <w:pPr>
      <w:contextualSpacing/>
      <w:spacing w:before="300" w:after="200"/>
    </w:pPr>
    <w:rPr>
      <w:sz w:val="48"/>
      <w:szCs w:val="48"/>
    </w:rPr>
  </w:style>
  <w:style w:type="character" w:styleId="1298">
    <w:name w:val="标题 Char1"/>
    <w:next w:val="1298"/>
    <w:link w:val="1297"/>
    <w:uiPriority w:val="10"/>
    <w:rPr>
      <w:sz w:val="48"/>
      <w:szCs w:val="48"/>
    </w:rPr>
  </w:style>
  <w:style w:type="paragraph" w:styleId="1299">
    <w:name w:val="正文首行缩进 2"/>
    <w:next w:val="1299"/>
    <w:link w:val="1270"/>
    <w:qFormat/>
    <w:pPr>
      <w:ind w:left="420" w:firstLine="420"/>
      <w:jc w:val="both"/>
      <w:spacing w:after="120" w:line="480" w:lineRule="exact"/>
      <w:widowControl w:val="off"/>
    </w:pPr>
    <w:rPr>
      <w:sz w:val="24"/>
      <w:szCs w:val="24"/>
      <w:lang w:val="en-US" w:eastAsia="zh-CN" w:bidi="ar-SA"/>
    </w:rPr>
  </w:style>
  <w:style w:type="table" w:styleId="1300">
    <w:name w:val="网格型"/>
    <w:next w:val="1300"/>
    <w:link w:val="1270"/>
    <w:uiPriority w:val="59"/>
    <w:rPr>
      <w:lang w:val="en-US" w:eastAsia="zh-CN" w:bidi="ar-SA"/>
    </w:rPr>
    <w:tblPr/>
  </w:style>
  <w:style w:type="character" w:styleId="1301">
    <w:name w:val="尾注引用"/>
    <w:next w:val="1301"/>
    <w:link w:val="1270"/>
    <w:uiPriority w:val="99"/>
    <w:unhideWhenUsed/>
    <w:rPr>
      <w:vertAlign w:val="superscript"/>
    </w:rPr>
  </w:style>
  <w:style w:type="character" w:styleId="1302">
    <w:name w:val="超链接"/>
    <w:next w:val="1302"/>
    <w:link w:val="1270"/>
    <w:uiPriority w:val="99"/>
    <w:unhideWhenUsed/>
    <w:rPr>
      <w:color w:val="0000ff"/>
      <w:u w:val="single"/>
    </w:rPr>
  </w:style>
  <w:style w:type="character" w:styleId="1303">
    <w:name w:val="脚注引用"/>
    <w:next w:val="1303"/>
    <w:link w:val="1270"/>
    <w:uiPriority w:val="99"/>
    <w:unhideWhenUsed/>
    <w:rPr>
      <w:vertAlign w:val="superscript"/>
    </w:rPr>
  </w:style>
  <w:style w:type="character" w:styleId="1304">
    <w:name w:val="标题 3 字符"/>
    <w:next w:val="1304"/>
    <w:link w:val="1305"/>
    <w:qFormat/>
    <w:rPr>
      <w:rFonts w:ascii="宋体" w:eastAsia="宋体"/>
      <w:b/>
      <w:sz w:val="24"/>
      <w:u w:val="single"/>
      <w:lang w:val="en-US" w:eastAsia="zh-CN" w:bidi="ar-SA"/>
    </w:rPr>
  </w:style>
  <w:style w:type="paragraph" w:styleId="1305">
    <w:name w:val="标题 31"/>
    <w:basedOn w:val="1270"/>
    <w:next w:val="1270"/>
    <w:link w:val="1304"/>
    <w:qFormat/>
    <w:pPr>
      <w:jc w:val="left"/>
      <w:keepLines/>
      <w:keepNext/>
      <w:spacing w:before="360" w:after="120"/>
      <w:outlineLvl w:val="2"/>
    </w:pPr>
    <w:rPr>
      <w:rFonts w:ascii="宋体"/>
      <w:b/>
      <w:sz w:val="24"/>
      <w:szCs w:val="20"/>
      <w:u w:val="single"/>
    </w:rPr>
  </w:style>
  <w:style w:type="character" w:styleId="1306">
    <w:name w:val="标题 5 字符"/>
    <w:next w:val="1306"/>
    <w:link w:val="1307"/>
    <w:qFormat/>
    <w:rPr>
      <w:b/>
      <w:sz w:val="28"/>
    </w:rPr>
  </w:style>
  <w:style w:type="paragraph" w:styleId="1307">
    <w:name w:val="标题 51"/>
    <w:basedOn w:val="1270"/>
    <w:next w:val="1270"/>
    <w:link w:val="1306"/>
    <w:qFormat/>
    <w:pPr>
      <w:keepLines/>
      <w:keepNext/>
      <w:spacing w:before="280" w:after="290" w:line="376" w:lineRule="atLeast"/>
      <w:outlineLvl w:val="4"/>
    </w:pPr>
    <w:rPr>
      <w:b/>
      <w:sz w:val="28"/>
      <w:szCs w:val="20"/>
    </w:rPr>
  </w:style>
  <w:style w:type="character" w:styleId="1308">
    <w:name w:val="标题 6 字符"/>
    <w:next w:val="1308"/>
    <w:link w:val="1309"/>
    <w:qFormat/>
    <w:rPr>
      <w:rFonts w:ascii="Arial" w:hAnsi="Arial" w:eastAsia="黑体"/>
      <w:b/>
      <w:sz w:val="24"/>
    </w:rPr>
  </w:style>
  <w:style w:type="paragraph" w:styleId="1309">
    <w:name w:val="标题 61"/>
    <w:basedOn w:val="1270"/>
    <w:next w:val="1270"/>
    <w:link w:val="1308"/>
    <w:qFormat/>
    <w:pPr>
      <w:keepLines/>
      <w:keepNext/>
      <w:spacing w:before="240" w:after="64" w:line="320" w:lineRule="atLeast"/>
      <w:outlineLvl w:val="5"/>
    </w:pPr>
    <w:rPr>
      <w:rFonts w:ascii="Arial" w:hAnsi="Arial" w:eastAsia="黑体"/>
      <w:b/>
      <w:sz w:val="24"/>
      <w:szCs w:val="20"/>
    </w:rPr>
  </w:style>
  <w:style w:type="character" w:styleId="1310">
    <w:name w:val="标题 2 Char"/>
    <w:next w:val="1310"/>
    <w:link w:val="1270"/>
    <w:qFormat/>
    <w:rPr>
      <w:rFonts w:ascii="Arial" w:hAnsi="Arial" w:eastAsia="黑体"/>
      <w:b/>
      <w:sz w:val="30"/>
      <w:lang w:val="en-US" w:eastAsia="zh-CN" w:bidi="ar-SA"/>
    </w:rPr>
  </w:style>
  <w:style w:type="character" w:styleId="1311">
    <w:name w:val="标题 1 字符"/>
    <w:next w:val="1311"/>
    <w:link w:val="1312"/>
    <w:qFormat/>
    <w:rPr>
      <w:rFonts w:ascii="宋体"/>
      <w:b/>
      <w:sz w:val="32"/>
    </w:rPr>
  </w:style>
  <w:style w:type="paragraph" w:styleId="1312">
    <w:name w:val="标题 11"/>
    <w:basedOn w:val="1270"/>
    <w:next w:val="1270"/>
    <w:link w:val="1311"/>
    <w:qFormat/>
    <w:pPr>
      <w:jc w:val="center"/>
      <w:keepLines/>
      <w:keepNext/>
      <w:spacing w:before="240" w:after="120" w:line="300" w:lineRule="auto"/>
      <w:outlineLvl w:val="0"/>
    </w:pPr>
    <w:rPr>
      <w:rFonts w:ascii="宋体"/>
      <w:b/>
      <w:sz w:val="32"/>
      <w:szCs w:val="20"/>
    </w:rPr>
  </w:style>
  <w:style w:type="paragraph" w:styleId="1313">
    <w:name w:val="Heading 1"/>
    <w:basedOn w:val="1270"/>
    <w:next w:val="1270"/>
    <w:link w:val="1314"/>
    <w:uiPriority w:val="9"/>
    <w:qFormat/>
    <w:pPr>
      <w:keepLines/>
      <w:keepNext/>
      <w:spacing w:before="480" w:after="200"/>
      <w:outlineLvl w:val="0"/>
    </w:pPr>
    <w:rPr>
      <w:rFonts w:ascii="Arial" w:hAnsi="Arial" w:eastAsia="Arial"/>
      <w:sz w:val="40"/>
      <w:szCs w:val="40"/>
    </w:rPr>
  </w:style>
  <w:style w:type="character" w:styleId="1314">
    <w:name w:val="Heading 1 Char"/>
    <w:next w:val="1314"/>
    <w:link w:val="1313"/>
    <w:uiPriority w:val="9"/>
    <w:rPr>
      <w:rFonts w:ascii="Arial" w:hAnsi="Arial" w:eastAsia="Arial" w:cs="Arial"/>
      <w:sz w:val="40"/>
      <w:szCs w:val="40"/>
    </w:rPr>
  </w:style>
  <w:style w:type="paragraph" w:styleId="1315">
    <w:name w:val="Heading 2"/>
    <w:basedOn w:val="1270"/>
    <w:next w:val="1270"/>
    <w:link w:val="1316"/>
    <w:uiPriority w:val="9"/>
    <w:unhideWhenUsed/>
    <w:qFormat/>
    <w:pPr>
      <w:keepLines/>
      <w:keepNext/>
      <w:spacing w:before="360" w:after="200"/>
      <w:outlineLvl w:val="1"/>
    </w:pPr>
    <w:rPr>
      <w:rFonts w:ascii="Arial" w:hAnsi="Arial" w:eastAsia="Arial"/>
      <w:sz w:val="34"/>
      <w:szCs w:val="20"/>
    </w:rPr>
  </w:style>
  <w:style w:type="character" w:styleId="1316">
    <w:name w:val="Heading 2 Char"/>
    <w:next w:val="1316"/>
    <w:link w:val="1315"/>
    <w:uiPriority w:val="9"/>
    <w:rPr>
      <w:rFonts w:ascii="Arial" w:hAnsi="Arial" w:eastAsia="Arial" w:cs="Arial"/>
      <w:sz w:val="34"/>
    </w:rPr>
  </w:style>
  <w:style w:type="paragraph" w:styleId="1317">
    <w:name w:val="Heading 3"/>
    <w:basedOn w:val="1270"/>
    <w:next w:val="1270"/>
    <w:link w:val="1318"/>
    <w:uiPriority w:val="9"/>
    <w:unhideWhenUsed/>
    <w:qFormat/>
    <w:pPr>
      <w:keepLines/>
      <w:keepNext/>
      <w:spacing w:before="320" w:after="200"/>
      <w:outlineLvl w:val="2"/>
    </w:pPr>
    <w:rPr>
      <w:rFonts w:ascii="Arial" w:hAnsi="Arial" w:eastAsia="Arial"/>
      <w:sz w:val="30"/>
      <w:szCs w:val="30"/>
    </w:rPr>
  </w:style>
  <w:style w:type="character" w:styleId="1318">
    <w:name w:val="Heading 3 Char"/>
    <w:next w:val="1318"/>
    <w:link w:val="1317"/>
    <w:uiPriority w:val="9"/>
    <w:rPr>
      <w:rFonts w:ascii="Arial" w:hAnsi="Arial" w:eastAsia="Arial" w:cs="Arial"/>
      <w:sz w:val="30"/>
      <w:szCs w:val="30"/>
    </w:rPr>
  </w:style>
  <w:style w:type="paragraph" w:styleId="1319">
    <w:name w:val="Heading 4"/>
    <w:basedOn w:val="1270"/>
    <w:next w:val="1270"/>
    <w:link w:val="1320"/>
    <w:uiPriority w:val="9"/>
    <w:unhideWhenUsed/>
    <w:qFormat/>
    <w:pPr>
      <w:keepLines/>
      <w:keepNext/>
      <w:spacing w:before="320" w:after="200"/>
      <w:outlineLvl w:val="3"/>
    </w:pPr>
    <w:rPr>
      <w:rFonts w:ascii="Arial" w:hAnsi="Arial" w:eastAsia="Arial"/>
      <w:b/>
      <w:bCs/>
      <w:sz w:val="26"/>
      <w:szCs w:val="26"/>
    </w:rPr>
  </w:style>
  <w:style w:type="character" w:styleId="1320">
    <w:name w:val="Heading 4 Char"/>
    <w:next w:val="1320"/>
    <w:link w:val="1319"/>
    <w:uiPriority w:val="9"/>
    <w:rPr>
      <w:rFonts w:ascii="Arial" w:hAnsi="Arial" w:eastAsia="Arial" w:cs="Arial"/>
      <w:b/>
      <w:bCs/>
      <w:sz w:val="26"/>
      <w:szCs w:val="26"/>
    </w:rPr>
  </w:style>
  <w:style w:type="paragraph" w:styleId="1321">
    <w:name w:val="Heading 5"/>
    <w:basedOn w:val="1270"/>
    <w:next w:val="1270"/>
    <w:link w:val="1322"/>
    <w:uiPriority w:val="9"/>
    <w:unhideWhenUsed/>
    <w:qFormat/>
    <w:pPr>
      <w:keepLines/>
      <w:keepNext/>
      <w:spacing w:before="320" w:after="200"/>
      <w:outlineLvl w:val="4"/>
    </w:pPr>
    <w:rPr>
      <w:rFonts w:ascii="Arial" w:hAnsi="Arial" w:eastAsia="Arial"/>
      <w:b/>
      <w:bCs/>
      <w:sz w:val="24"/>
    </w:rPr>
  </w:style>
  <w:style w:type="character" w:styleId="1322">
    <w:name w:val="Heading 5 Char"/>
    <w:next w:val="1322"/>
    <w:link w:val="1321"/>
    <w:uiPriority w:val="9"/>
    <w:rPr>
      <w:rFonts w:ascii="Arial" w:hAnsi="Arial" w:eastAsia="Arial" w:cs="Arial"/>
      <w:b/>
      <w:bCs/>
      <w:sz w:val="24"/>
      <w:szCs w:val="24"/>
    </w:rPr>
  </w:style>
  <w:style w:type="paragraph" w:styleId="1323">
    <w:name w:val="Heading 6"/>
    <w:basedOn w:val="1270"/>
    <w:next w:val="1270"/>
    <w:link w:val="1324"/>
    <w:uiPriority w:val="9"/>
    <w:unhideWhenUsed/>
    <w:qFormat/>
    <w:pPr>
      <w:keepLines/>
      <w:keepNext/>
      <w:spacing w:before="320" w:after="200"/>
      <w:outlineLvl w:val="5"/>
    </w:pPr>
    <w:rPr>
      <w:rFonts w:ascii="Arial" w:hAnsi="Arial" w:eastAsia="Arial"/>
      <w:b/>
      <w:bCs/>
      <w:sz w:val="22"/>
      <w:szCs w:val="22"/>
    </w:rPr>
  </w:style>
  <w:style w:type="character" w:styleId="1324">
    <w:name w:val="Heading 6 Char"/>
    <w:next w:val="1324"/>
    <w:link w:val="1323"/>
    <w:uiPriority w:val="9"/>
    <w:rPr>
      <w:rFonts w:ascii="Arial" w:hAnsi="Arial" w:eastAsia="Arial" w:cs="Arial"/>
      <w:b/>
      <w:bCs/>
      <w:sz w:val="22"/>
      <w:szCs w:val="22"/>
    </w:rPr>
  </w:style>
  <w:style w:type="paragraph" w:styleId="1325">
    <w:name w:val="Heading 7"/>
    <w:basedOn w:val="1270"/>
    <w:next w:val="1270"/>
    <w:link w:val="1326"/>
    <w:uiPriority w:val="9"/>
    <w:unhideWhenUsed/>
    <w:qFormat/>
    <w:pPr>
      <w:keepLines/>
      <w:keepNext/>
      <w:spacing w:before="320" w:after="200"/>
      <w:outlineLvl w:val="6"/>
    </w:pPr>
    <w:rPr>
      <w:rFonts w:ascii="Arial" w:hAnsi="Arial" w:eastAsia="Arial"/>
      <w:b/>
      <w:bCs/>
      <w:i/>
      <w:iCs/>
      <w:sz w:val="22"/>
      <w:szCs w:val="22"/>
    </w:rPr>
  </w:style>
  <w:style w:type="character" w:styleId="1326">
    <w:name w:val="Heading 7 Char"/>
    <w:next w:val="1326"/>
    <w:link w:val="1325"/>
    <w:uiPriority w:val="9"/>
    <w:rPr>
      <w:rFonts w:ascii="Arial" w:hAnsi="Arial" w:eastAsia="Arial" w:cs="Arial"/>
      <w:b/>
      <w:bCs/>
      <w:i/>
      <w:iCs/>
      <w:sz w:val="22"/>
      <w:szCs w:val="22"/>
    </w:rPr>
  </w:style>
  <w:style w:type="paragraph" w:styleId="1327">
    <w:name w:val="Heading 8"/>
    <w:basedOn w:val="1270"/>
    <w:next w:val="1270"/>
    <w:link w:val="1328"/>
    <w:uiPriority w:val="9"/>
    <w:unhideWhenUsed/>
    <w:qFormat/>
    <w:pPr>
      <w:keepLines/>
      <w:keepNext/>
      <w:spacing w:before="320" w:after="200"/>
      <w:outlineLvl w:val="7"/>
    </w:pPr>
    <w:rPr>
      <w:rFonts w:ascii="Arial" w:hAnsi="Arial" w:eastAsia="Arial"/>
      <w:i/>
      <w:iCs/>
      <w:sz w:val="22"/>
      <w:szCs w:val="22"/>
    </w:rPr>
  </w:style>
  <w:style w:type="character" w:styleId="1328">
    <w:name w:val="Heading 8 Char"/>
    <w:next w:val="1328"/>
    <w:link w:val="1327"/>
    <w:uiPriority w:val="9"/>
    <w:rPr>
      <w:rFonts w:ascii="Arial" w:hAnsi="Arial" w:eastAsia="Arial" w:cs="Arial"/>
      <w:i/>
      <w:iCs/>
      <w:sz w:val="22"/>
      <w:szCs w:val="22"/>
    </w:rPr>
  </w:style>
  <w:style w:type="paragraph" w:styleId="1329">
    <w:name w:val="Heading 9"/>
    <w:basedOn w:val="1270"/>
    <w:next w:val="1270"/>
    <w:link w:val="1330"/>
    <w:uiPriority w:val="9"/>
    <w:unhideWhenUsed/>
    <w:qFormat/>
    <w:pPr>
      <w:keepLines/>
      <w:keepNext/>
      <w:spacing w:before="320" w:after="200"/>
      <w:outlineLvl w:val="8"/>
    </w:pPr>
    <w:rPr>
      <w:rFonts w:ascii="Arial" w:hAnsi="Arial" w:eastAsia="Arial"/>
      <w:i/>
      <w:iCs/>
      <w:szCs w:val="21"/>
    </w:rPr>
  </w:style>
  <w:style w:type="character" w:styleId="1330">
    <w:name w:val="Heading 9 Char"/>
    <w:next w:val="1330"/>
    <w:link w:val="1329"/>
    <w:uiPriority w:val="9"/>
    <w:rPr>
      <w:rFonts w:ascii="Arial" w:hAnsi="Arial" w:eastAsia="Arial" w:cs="Arial"/>
      <w:i/>
      <w:iCs/>
      <w:sz w:val="21"/>
      <w:szCs w:val="21"/>
    </w:rPr>
  </w:style>
  <w:style w:type="paragraph" w:styleId="1331">
    <w:name w:val="列出段落"/>
    <w:basedOn w:val="1270"/>
    <w:next w:val="1331"/>
    <w:link w:val="1270"/>
    <w:uiPriority w:val="34"/>
    <w:qFormat/>
    <w:pPr>
      <w:contextualSpacing/>
      <w:ind w:left="720"/>
    </w:pPr>
  </w:style>
  <w:style w:type="paragraph" w:styleId="1332">
    <w:name w:val="无间隔2"/>
    <w:next w:val="1332"/>
    <w:link w:val="1270"/>
    <w:uiPriority w:val="1"/>
    <w:qFormat/>
    <w:rPr>
      <w:lang w:val="en-US" w:eastAsia="zh-CN" w:bidi="ar-SA"/>
    </w:rPr>
  </w:style>
  <w:style w:type="paragraph" w:styleId="1333">
    <w:name w:val="引用"/>
    <w:basedOn w:val="1270"/>
    <w:next w:val="1270"/>
    <w:link w:val="1334"/>
    <w:uiPriority w:val="29"/>
    <w:qFormat/>
    <w:pPr>
      <w:ind w:left="720" w:right="720"/>
    </w:pPr>
    <w:rPr>
      <w:i/>
      <w:sz w:val="20"/>
      <w:szCs w:val="20"/>
    </w:rPr>
  </w:style>
  <w:style w:type="character" w:styleId="1334">
    <w:name w:val="引用 Char"/>
    <w:next w:val="1334"/>
    <w:link w:val="1333"/>
    <w:uiPriority w:val="29"/>
    <w:rPr>
      <w:i/>
    </w:rPr>
  </w:style>
  <w:style w:type="paragraph" w:styleId="1335">
    <w:name w:val="明显引用"/>
    <w:basedOn w:val="1270"/>
    <w:next w:val="1270"/>
    <w:link w:val="13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336">
    <w:name w:val="明显引用 Char"/>
    <w:next w:val="1336"/>
    <w:link w:val="1335"/>
    <w:uiPriority w:val="30"/>
    <w:rPr>
      <w:i/>
    </w:rPr>
  </w:style>
  <w:style w:type="paragraph" w:styleId="1337">
    <w:name w:val="Header1"/>
    <w:basedOn w:val="1270"/>
    <w:next w:val="1337"/>
    <w:link w:val="1338"/>
    <w:uiPriority w:val="99"/>
    <w:unhideWhenUsed/>
    <w:pPr>
      <w:spacing w:after="0" w:line="240" w:lineRule="auto"/>
      <w:tabs>
        <w:tab w:val="center" w:pos="7143" w:leader="none"/>
        <w:tab w:val="right" w:pos="14287" w:leader="none"/>
      </w:tabs>
    </w:pPr>
  </w:style>
  <w:style w:type="character" w:styleId="1338">
    <w:name w:val="Header Char"/>
    <w:next w:val="1338"/>
    <w:link w:val="1337"/>
    <w:uiPriority w:val="99"/>
  </w:style>
  <w:style w:type="paragraph" w:styleId="1339">
    <w:name w:val="Footer1"/>
    <w:basedOn w:val="1270"/>
    <w:next w:val="1339"/>
    <w:link w:val="1340"/>
    <w:uiPriority w:val="99"/>
    <w:unhideWhenUsed/>
    <w:pPr>
      <w:spacing w:after="0" w:line="240" w:lineRule="auto"/>
      <w:tabs>
        <w:tab w:val="center" w:pos="7143" w:leader="none"/>
        <w:tab w:val="right" w:pos="14287" w:leader="none"/>
      </w:tabs>
    </w:pPr>
  </w:style>
  <w:style w:type="character" w:styleId="1340">
    <w:name w:val="Caption Char"/>
    <w:next w:val="1340"/>
    <w:link w:val="1339"/>
    <w:uiPriority w:val="99"/>
  </w:style>
  <w:style w:type="character" w:styleId="1341">
    <w:name w:val="Footer Char"/>
    <w:next w:val="1341"/>
    <w:link w:val="1270"/>
    <w:uiPriority w:val="99"/>
  </w:style>
  <w:style w:type="paragraph" w:styleId="1342">
    <w:name w:val="Caption1"/>
    <w:basedOn w:val="1270"/>
    <w:next w:val="1270"/>
    <w:link w:val="1270"/>
    <w:uiPriority w:val="35"/>
    <w:unhideWhenUsed/>
    <w:qFormat/>
    <w:pPr>
      <w:spacing w:line="276" w:lineRule="auto"/>
    </w:pPr>
    <w:rPr>
      <w:b/>
      <w:bCs/>
      <w:color w:val="4f81bd"/>
      <w:sz w:val="18"/>
      <w:szCs w:val="18"/>
    </w:rPr>
  </w:style>
  <w:style w:type="table" w:styleId="1343">
    <w:name w:val="Table Grid Light"/>
    <w:next w:val="1343"/>
    <w:link w:val="1270"/>
    <w:uiPriority w:val="59"/>
    <w:rPr>
      <w:lang w:val="en-US" w:eastAsia="zh-CN" w:bidi="ar-SA"/>
    </w:rPr>
    <w:tblPr/>
  </w:style>
  <w:style w:type="table" w:styleId="1344">
    <w:name w:val="Plain Table 1"/>
    <w:next w:val="1344"/>
    <w:link w:val="1270"/>
    <w:uiPriority w:val="59"/>
    <w:rPr>
      <w:lang w:val="en-US" w:eastAsia="zh-CN" w:bidi="ar-SA"/>
    </w:rPr>
    <w:tblPr/>
  </w:style>
  <w:style w:type="table" w:styleId="1345">
    <w:name w:val="Plain Table 2"/>
    <w:next w:val="1345"/>
    <w:link w:val="1270"/>
    <w:uiPriority w:val="59"/>
    <w:rPr>
      <w:lang w:val="en-US" w:eastAsia="zh-CN" w:bidi="ar-SA"/>
    </w:rPr>
    <w:tblPr/>
  </w:style>
  <w:style w:type="table" w:styleId="1346">
    <w:name w:val="Plain Table 3"/>
    <w:next w:val="1346"/>
    <w:link w:val="1270"/>
    <w:uiPriority w:val="99"/>
    <w:rPr>
      <w:lang w:val="en-US" w:eastAsia="zh-CN" w:bidi="ar-SA"/>
    </w:rPr>
    <w:tblPr/>
  </w:style>
  <w:style w:type="table" w:styleId="1347">
    <w:name w:val="Plain Table 4"/>
    <w:next w:val="1347"/>
    <w:link w:val="1270"/>
    <w:uiPriority w:val="99"/>
    <w:rPr>
      <w:lang w:val="en-US" w:eastAsia="zh-CN" w:bidi="ar-SA"/>
    </w:rPr>
    <w:tblPr/>
  </w:style>
  <w:style w:type="table" w:styleId="1348">
    <w:name w:val="Plain Table 5"/>
    <w:next w:val="1348"/>
    <w:link w:val="1270"/>
    <w:uiPriority w:val="99"/>
    <w:rPr>
      <w:lang w:val="en-US" w:eastAsia="zh-CN" w:bidi="ar-SA"/>
    </w:rPr>
    <w:tblPr/>
  </w:style>
  <w:style w:type="table" w:styleId="1349">
    <w:name w:val="Grid Table 1 Light"/>
    <w:next w:val="1349"/>
    <w:link w:val="1270"/>
    <w:uiPriority w:val="99"/>
    <w:rPr>
      <w:lang w:val="en-US" w:eastAsia="zh-CN" w:bidi="ar-SA"/>
    </w:rPr>
    <w:tblPr/>
  </w:style>
  <w:style w:type="table" w:styleId="1350">
    <w:name w:val="Grid Table 1 Light - Accent 1"/>
    <w:next w:val="1350"/>
    <w:link w:val="1270"/>
    <w:uiPriority w:val="99"/>
    <w:rPr>
      <w:lang w:val="en-US" w:eastAsia="zh-CN" w:bidi="ar-SA"/>
    </w:rPr>
    <w:tblPr/>
  </w:style>
  <w:style w:type="table" w:styleId="1351">
    <w:name w:val="Grid Table 1 Light - Accent 2"/>
    <w:next w:val="1351"/>
    <w:link w:val="1270"/>
    <w:uiPriority w:val="99"/>
    <w:rPr>
      <w:lang w:val="en-US" w:eastAsia="zh-CN" w:bidi="ar-SA"/>
    </w:rPr>
    <w:tblPr/>
  </w:style>
  <w:style w:type="table" w:styleId="1352">
    <w:name w:val="Grid Table 1 Light - Accent 3"/>
    <w:next w:val="1352"/>
    <w:link w:val="1270"/>
    <w:uiPriority w:val="99"/>
    <w:rPr>
      <w:lang w:val="en-US" w:eastAsia="zh-CN" w:bidi="ar-SA"/>
    </w:rPr>
    <w:tblPr/>
  </w:style>
  <w:style w:type="table" w:styleId="1353">
    <w:name w:val="Grid Table 1 Light - Accent 4"/>
    <w:next w:val="1353"/>
    <w:link w:val="1270"/>
    <w:uiPriority w:val="99"/>
    <w:rPr>
      <w:lang w:val="en-US" w:eastAsia="zh-CN" w:bidi="ar-SA"/>
    </w:rPr>
    <w:tblPr/>
  </w:style>
  <w:style w:type="table" w:styleId="1354">
    <w:name w:val="Grid Table 1 Light - Accent 5"/>
    <w:next w:val="1354"/>
    <w:link w:val="1270"/>
    <w:uiPriority w:val="99"/>
    <w:rPr>
      <w:lang w:val="en-US" w:eastAsia="zh-CN" w:bidi="ar-SA"/>
    </w:rPr>
    <w:tblPr/>
  </w:style>
  <w:style w:type="table" w:styleId="1355">
    <w:name w:val="Grid Table 1 Light - Accent 6"/>
    <w:next w:val="1355"/>
    <w:link w:val="1270"/>
    <w:uiPriority w:val="99"/>
    <w:rPr>
      <w:lang w:val="en-US" w:eastAsia="zh-CN" w:bidi="ar-SA"/>
    </w:rPr>
    <w:tblPr/>
  </w:style>
  <w:style w:type="table" w:styleId="1356">
    <w:name w:val="Grid Table 2"/>
    <w:next w:val="1356"/>
    <w:link w:val="1270"/>
    <w:uiPriority w:val="99"/>
    <w:rPr>
      <w:lang w:val="en-US" w:eastAsia="zh-CN" w:bidi="ar-SA"/>
    </w:rPr>
    <w:tblPr/>
  </w:style>
  <w:style w:type="table" w:styleId="1357">
    <w:name w:val="Grid Table 2 - Accent 1"/>
    <w:next w:val="1357"/>
    <w:link w:val="1270"/>
    <w:uiPriority w:val="99"/>
    <w:rPr>
      <w:lang w:val="en-US" w:eastAsia="zh-CN" w:bidi="ar-SA"/>
    </w:rPr>
    <w:tblPr/>
  </w:style>
  <w:style w:type="table" w:styleId="1358">
    <w:name w:val="Grid Table 2 - Accent 2"/>
    <w:next w:val="1358"/>
    <w:link w:val="1270"/>
    <w:uiPriority w:val="99"/>
    <w:rPr>
      <w:lang w:val="en-US" w:eastAsia="zh-CN" w:bidi="ar-SA"/>
    </w:rPr>
    <w:tblPr/>
  </w:style>
  <w:style w:type="table" w:styleId="1359">
    <w:name w:val="Grid Table 2 - Accent 3"/>
    <w:next w:val="1359"/>
    <w:link w:val="1270"/>
    <w:uiPriority w:val="99"/>
    <w:rPr>
      <w:lang w:val="en-US" w:eastAsia="zh-CN" w:bidi="ar-SA"/>
    </w:rPr>
    <w:tblPr/>
  </w:style>
  <w:style w:type="table" w:styleId="1360">
    <w:name w:val="Grid Table 2 - Accent 4"/>
    <w:next w:val="1360"/>
    <w:link w:val="1270"/>
    <w:uiPriority w:val="99"/>
    <w:rPr>
      <w:lang w:val="en-US" w:eastAsia="zh-CN" w:bidi="ar-SA"/>
    </w:rPr>
    <w:tblPr/>
  </w:style>
  <w:style w:type="table" w:styleId="1361">
    <w:name w:val="Grid Table 2 - Accent 5"/>
    <w:next w:val="1361"/>
    <w:link w:val="1270"/>
    <w:uiPriority w:val="99"/>
    <w:rPr>
      <w:lang w:val="en-US" w:eastAsia="zh-CN" w:bidi="ar-SA"/>
    </w:rPr>
    <w:tblPr/>
  </w:style>
  <w:style w:type="table" w:styleId="1362">
    <w:name w:val="Grid Table 2 - Accent 6"/>
    <w:next w:val="1362"/>
    <w:link w:val="1270"/>
    <w:uiPriority w:val="99"/>
    <w:rPr>
      <w:lang w:val="en-US" w:eastAsia="zh-CN" w:bidi="ar-SA"/>
    </w:rPr>
    <w:tblPr/>
  </w:style>
  <w:style w:type="table" w:styleId="1363">
    <w:name w:val="Grid Table 3"/>
    <w:next w:val="1363"/>
    <w:link w:val="1270"/>
    <w:uiPriority w:val="99"/>
    <w:rPr>
      <w:lang w:val="en-US" w:eastAsia="zh-CN" w:bidi="ar-SA"/>
    </w:rPr>
    <w:tblPr/>
  </w:style>
  <w:style w:type="table" w:styleId="1364">
    <w:name w:val="Grid Table 3 - Accent 1"/>
    <w:next w:val="1364"/>
    <w:link w:val="1270"/>
    <w:uiPriority w:val="99"/>
    <w:rPr>
      <w:lang w:val="en-US" w:eastAsia="zh-CN" w:bidi="ar-SA"/>
    </w:rPr>
    <w:tblPr/>
  </w:style>
  <w:style w:type="table" w:styleId="1365">
    <w:name w:val="Grid Table 3 - Accent 2"/>
    <w:next w:val="1365"/>
    <w:link w:val="1270"/>
    <w:uiPriority w:val="99"/>
    <w:rPr>
      <w:lang w:val="en-US" w:eastAsia="zh-CN" w:bidi="ar-SA"/>
    </w:rPr>
    <w:tblPr/>
  </w:style>
  <w:style w:type="table" w:styleId="1366">
    <w:name w:val="Grid Table 3 - Accent 3"/>
    <w:next w:val="1366"/>
    <w:link w:val="1270"/>
    <w:uiPriority w:val="99"/>
    <w:rPr>
      <w:lang w:val="en-US" w:eastAsia="zh-CN" w:bidi="ar-SA"/>
    </w:rPr>
    <w:tblPr/>
  </w:style>
  <w:style w:type="table" w:styleId="1367">
    <w:name w:val="Grid Table 3 - Accent 4"/>
    <w:next w:val="1367"/>
    <w:link w:val="1270"/>
    <w:uiPriority w:val="99"/>
    <w:rPr>
      <w:lang w:val="en-US" w:eastAsia="zh-CN" w:bidi="ar-SA"/>
    </w:rPr>
    <w:tblPr/>
  </w:style>
  <w:style w:type="table" w:styleId="1368">
    <w:name w:val="Grid Table 3 - Accent 5"/>
    <w:next w:val="1368"/>
    <w:link w:val="1270"/>
    <w:uiPriority w:val="99"/>
    <w:rPr>
      <w:lang w:val="en-US" w:eastAsia="zh-CN" w:bidi="ar-SA"/>
    </w:rPr>
    <w:tblPr/>
  </w:style>
  <w:style w:type="table" w:styleId="1369">
    <w:name w:val="Grid Table 3 - Accent 6"/>
    <w:next w:val="1369"/>
    <w:link w:val="1270"/>
    <w:uiPriority w:val="99"/>
    <w:rPr>
      <w:lang w:val="en-US" w:eastAsia="zh-CN" w:bidi="ar-SA"/>
    </w:rPr>
    <w:tblPr/>
  </w:style>
  <w:style w:type="table" w:styleId="1370">
    <w:name w:val="Grid Table 4"/>
    <w:next w:val="1370"/>
    <w:link w:val="1270"/>
    <w:uiPriority w:val="59"/>
    <w:rPr>
      <w:lang w:val="en-US" w:eastAsia="zh-CN" w:bidi="ar-SA"/>
    </w:rPr>
    <w:tblPr/>
  </w:style>
  <w:style w:type="table" w:styleId="1371">
    <w:name w:val="Grid Table 4 - Accent 1"/>
    <w:next w:val="1371"/>
    <w:link w:val="1270"/>
    <w:uiPriority w:val="59"/>
    <w:rPr>
      <w:lang w:val="en-US" w:eastAsia="zh-CN" w:bidi="ar-SA"/>
    </w:rPr>
    <w:tblPr/>
  </w:style>
  <w:style w:type="table" w:styleId="1372">
    <w:name w:val="Grid Table 4 - Accent 2"/>
    <w:next w:val="1372"/>
    <w:link w:val="1270"/>
    <w:uiPriority w:val="59"/>
    <w:rPr>
      <w:lang w:val="en-US" w:eastAsia="zh-CN" w:bidi="ar-SA"/>
    </w:rPr>
    <w:tblPr/>
  </w:style>
  <w:style w:type="table" w:styleId="1373">
    <w:name w:val="Grid Table 4 - Accent 3"/>
    <w:next w:val="1373"/>
    <w:link w:val="1270"/>
    <w:uiPriority w:val="59"/>
    <w:rPr>
      <w:lang w:val="en-US" w:eastAsia="zh-CN" w:bidi="ar-SA"/>
    </w:rPr>
    <w:tblPr/>
  </w:style>
  <w:style w:type="table" w:styleId="1374">
    <w:name w:val="Grid Table 4 - Accent 4"/>
    <w:next w:val="1374"/>
    <w:link w:val="1270"/>
    <w:uiPriority w:val="59"/>
    <w:rPr>
      <w:lang w:val="en-US" w:eastAsia="zh-CN" w:bidi="ar-SA"/>
    </w:rPr>
    <w:tblPr/>
  </w:style>
  <w:style w:type="table" w:styleId="1375">
    <w:name w:val="Grid Table 4 - Accent 5"/>
    <w:next w:val="1375"/>
    <w:link w:val="1270"/>
    <w:uiPriority w:val="59"/>
    <w:rPr>
      <w:lang w:val="en-US" w:eastAsia="zh-CN" w:bidi="ar-SA"/>
    </w:rPr>
    <w:tblPr/>
  </w:style>
  <w:style w:type="table" w:styleId="1376">
    <w:name w:val="Grid Table 4 - Accent 6"/>
    <w:next w:val="1376"/>
    <w:link w:val="1270"/>
    <w:uiPriority w:val="59"/>
    <w:rPr>
      <w:lang w:val="en-US" w:eastAsia="zh-CN" w:bidi="ar-SA"/>
    </w:rPr>
    <w:tblPr/>
  </w:style>
  <w:style w:type="table" w:styleId="1377">
    <w:name w:val="Grid Table 5 Dark"/>
    <w:next w:val="1377"/>
    <w:link w:val="1270"/>
    <w:uiPriority w:val="99"/>
    <w:rPr>
      <w:lang w:val="en-US" w:eastAsia="zh-CN" w:bidi="ar-SA"/>
    </w:rPr>
    <w:tblPr/>
  </w:style>
  <w:style w:type="table" w:styleId="1378">
    <w:name w:val="Grid Table 5 Dark- Accent 1"/>
    <w:next w:val="1378"/>
    <w:link w:val="1270"/>
    <w:uiPriority w:val="99"/>
    <w:rPr>
      <w:lang w:val="en-US" w:eastAsia="zh-CN" w:bidi="ar-SA"/>
    </w:rPr>
    <w:tblPr/>
  </w:style>
  <w:style w:type="table" w:styleId="1379">
    <w:name w:val="Grid Table 5 Dark - Accent 2"/>
    <w:next w:val="1379"/>
    <w:link w:val="1270"/>
    <w:uiPriority w:val="99"/>
    <w:rPr>
      <w:lang w:val="en-US" w:eastAsia="zh-CN" w:bidi="ar-SA"/>
    </w:rPr>
    <w:tblPr/>
  </w:style>
  <w:style w:type="table" w:styleId="1380">
    <w:name w:val="Grid Table 5 Dark - Accent 3"/>
    <w:next w:val="1380"/>
    <w:link w:val="1270"/>
    <w:uiPriority w:val="99"/>
    <w:rPr>
      <w:lang w:val="en-US" w:eastAsia="zh-CN" w:bidi="ar-SA"/>
    </w:rPr>
    <w:tblPr/>
  </w:style>
  <w:style w:type="table" w:styleId="1381">
    <w:name w:val="Grid Table 5 Dark- Accent 4"/>
    <w:next w:val="1381"/>
    <w:link w:val="1270"/>
    <w:uiPriority w:val="99"/>
    <w:rPr>
      <w:lang w:val="en-US" w:eastAsia="zh-CN" w:bidi="ar-SA"/>
    </w:rPr>
    <w:tblPr/>
  </w:style>
  <w:style w:type="table" w:styleId="1382">
    <w:name w:val="Grid Table 5 Dark - Accent 5"/>
    <w:next w:val="1382"/>
    <w:link w:val="1270"/>
    <w:uiPriority w:val="99"/>
    <w:rPr>
      <w:lang w:val="en-US" w:eastAsia="zh-CN" w:bidi="ar-SA"/>
    </w:rPr>
    <w:tblPr/>
  </w:style>
  <w:style w:type="table" w:styleId="1383">
    <w:name w:val="Grid Table 5 Dark - Accent 6"/>
    <w:next w:val="1383"/>
    <w:link w:val="1270"/>
    <w:uiPriority w:val="99"/>
    <w:rPr>
      <w:lang w:val="en-US" w:eastAsia="zh-CN" w:bidi="ar-SA"/>
    </w:rPr>
    <w:tblPr/>
  </w:style>
  <w:style w:type="table" w:styleId="1384">
    <w:name w:val="Grid Table 6 Colorful"/>
    <w:next w:val="1384"/>
    <w:link w:val="1270"/>
    <w:uiPriority w:val="99"/>
    <w:rPr>
      <w:lang w:val="en-US" w:eastAsia="zh-CN" w:bidi="ar-SA"/>
    </w:rPr>
    <w:tblPr/>
  </w:style>
  <w:style w:type="table" w:styleId="1385">
    <w:name w:val="Grid Table 6 Colorful - Accent 1"/>
    <w:next w:val="1385"/>
    <w:link w:val="1270"/>
    <w:uiPriority w:val="99"/>
    <w:rPr>
      <w:lang w:val="en-US" w:eastAsia="zh-CN" w:bidi="ar-SA"/>
    </w:rPr>
    <w:tblPr/>
  </w:style>
  <w:style w:type="table" w:styleId="1386">
    <w:name w:val="Grid Table 6 Colorful - Accent 2"/>
    <w:next w:val="1386"/>
    <w:link w:val="1270"/>
    <w:uiPriority w:val="99"/>
    <w:rPr>
      <w:lang w:val="en-US" w:eastAsia="zh-CN" w:bidi="ar-SA"/>
    </w:rPr>
    <w:tblPr/>
  </w:style>
  <w:style w:type="table" w:styleId="1387">
    <w:name w:val="Grid Table 6 Colorful - Accent 3"/>
    <w:next w:val="1387"/>
    <w:link w:val="1270"/>
    <w:uiPriority w:val="99"/>
    <w:rPr>
      <w:lang w:val="en-US" w:eastAsia="zh-CN" w:bidi="ar-SA"/>
    </w:rPr>
    <w:tblPr/>
  </w:style>
  <w:style w:type="table" w:styleId="1388">
    <w:name w:val="Grid Table 6 Colorful - Accent 4"/>
    <w:next w:val="1388"/>
    <w:link w:val="1270"/>
    <w:uiPriority w:val="99"/>
    <w:rPr>
      <w:lang w:val="en-US" w:eastAsia="zh-CN" w:bidi="ar-SA"/>
    </w:rPr>
    <w:tblPr/>
  </w:style>
  <w:style w:type="table" w:styleId="1389">
    <w:name w:val="Grid Table 6 Colorful - Accent 5"/>
    <w:next w:val="1389"/>
    <w:link w:val="1270"/>
    <w:uiPriority w:val="99"/>
    <w:rPr>
      <w:lang w:val="en-US" w:eastAsia="zh-CN" w:bidi="ar-SA"/>
    </w:rPr>
    <w:tblPr/>
  </w:style>
  <w:style w:type="table" w:styleId="1390">
    <w:name w:val="Grid Table 6 Colorful - Accent 6"/>
    <w:next w:val="1390"/>
    <w:link w:val="1270"/>
    <w:uiPriority w:val="99"/>
    <w:rPr>
      <w:lang w:val="en-US" w:eastAsia="zh-CN" w:bidi="ar-SA"/>
    </w:rPr>
    <w:tblPr/>
  </w:style>
  <w:style w:type="table" w:styleId="1391">
    <w:name w:val="Grid Table 7 Colorful"/>
    <w:next w:val="1391"/>
    <w:link w:val="1270"/>
    <w:uiPriority w:val="99"/>
    <w:rPr>
      <w:lang w:val="en-US" w:eastAsia="zh-CN" w:bidi="ar-SA"/>
    </w:rPr>
    <w:tblPr/>
  </w:style>
  <w:style w:type="table" w:styleId="1392">
    <w:name w:val="Grid Table 7 Colorful - Accent 1"/>
    <w:next w:val="1392"/>
    <w:link w:val="1270"/>
    <w:uiPriority w:val="99"/>
    <w:rPr>
      <w:lang w:val="en-US" w:eastAsia="zh-CN" w:bidi="ar-SA"/>
    </w:rPr>
    <w:tblPr/>
  </w:style>
  <w:style w:type="table" w:styleId="1393">
    <w:name w:val="Grid Table 7 Colorful - Accent 2"/>
    <w:next w:val="1393"/>
    <w:link w:val="1270"/>
    <w:uiPriority w:val="99"/>
    <w:rPr>
      <w:lang w:val="en-US" w:eastAsia="zh-CN" w:bidi="ar-SA"/>
    </w:rPr>
    <w:tblPr/>
  </w:style>
  <w:style w:type="table" w:styleId="1394">
    <w:name w:val="Grid Table 7 Colorful - Accent 3"/>
    <w:next w:val="1394"/>
    <w:link w:val="1270"/>
    <w:uiPriority w:val="99"/>
    <w:rPr>
      <w:lang w:val="en-US" w:eastAsia="zh-CN" w:bidi="ar-SA"/>
    </w:rPr>
    <w:tblPr/>
  </w:style>
  <w:style w:type="table" w:styleId="1395">
    <w:name w:val="Grid Table 7 Colorful - Accent 4"/>
    <w:next w:val="1395"/>
    <w:link w:val="1270"/>
    <w:uiPriority w:val="99"/>
    <w:rPr>
      <w:lang w:val="en-US" w:eastAsia="zh-CN" w:bidi="ar-SA"/>
    </w:rPr>
    <w:tblPr/>
  </w:style>
  <w:style w:type="table" w:styleId="1396">
    <w:name w:val="Grid Table 7 Colorful - Accent 5"/>
    <w:next w:val="1396"/>
    <w:link w:val="1270"/>
    <w:uiPriority w:val="99"/>
    <w:rPr>
      <w:lang w:val="en-US" w:eastAsia="zh-CN" w:bidi="ar-SA"/>
    </w:rPr>
    <w:tblPr/>
  </w:style>
  <w:style w:type="table" w:styleId="1397">
    <w:name w:val="Grid Table 7 Colorful - Accent 6"/>
    <w:next w:val="1397"/>
    <w:link w:val="1270"/>
    <w:uiPriority w:val="99"/>
    <w:rPr>
      <w:lang w:val="en-US" w:eastAsia="zh-CN" w:bidi="ar-SA"/>
    </w:rPr>
    <w:tblPr/>
  </w:style>
  <w:style w:type="table" w:styleId="1398">
    <w:name w:val="List Table 1 Light"/>
    <w:next w:val="1398"/>
    <w:link w:val="1270"/>
    <w:uiPriority w:val="99"/>
    <w:rPr>
      <w:lang w:val="en-US" w:eastAsia="zh-CN" w:bidi="ar-SA"/>
    </w:rPr>
    <w:tblPr/>
  </w:style>
  <w:style w:type="table" w:styleId="1399">
    <w:name w:val="List Table 1 Light - Accent 1"/>
    <w:next w:val="1399"/>
    <w:link w:val="1270"/>
    <w:uiPriority w:val="99"/>
    <w:rPr>
      <w:lang w:val="en-US" w:eastAsia="zh-CN" w:bidi="ar-SA"/>
    </w:rPr>
    <w:tblPr/>
  </w:style>
  <w:style w:type="table" w:styleId="1400">
    <w:name w:val="List Table 1 Light - Accent 2"/>
    <w:next w:val="1400"/>
    <w:link w:val="1270"/>
    <w:uiPriority w:val="99"/>
    <w:rPr>
      <w:lang w:val="en-US" w:eastAsia="zh-CN" w:bidi="ar-SA"/>
    </w:rPr>
    <w:tblPr/>
  </w:style>
  <w:style w:type="table" w:styleId="1401">
    <w:name w:val="List Table 1 Light - Accent 3"/>
    <w:next w:val="1401"/>
    <w:link w:val="1270"/>
    <w:uiPriority w:val="99"/>
    <w:rPr>
      <w:lang w:val="en-US" w:eastAsia="zh-CN" w:bidi="ar-SA"/>
    </w:rPr>
    <w:tblPr/>
  </w:style>
  <w:style w:type="table" w:styleId="1402">
    <w:name w:val="List Table 1 Light - Accent 4"/>
    <w:next w:val="1402"/>
    <w:link w:val="1270"/>
    <w:uiPriority w:val="99"/>
    <w:rPr>
      <w:lang w:val="en-US" w:eastAsia="zh-CN" w:bidi="ar-SA"/>
    </w:rPr>
    <w:tblPr/>
  </w:style>
  <w:style w:type="table" w:styleId="1403">
    <w:name w:val="List Table 1 Light - Accent 5"/>
    <w:next w:val="1403"/>
    <w:link w:val="1270"/>
    <w:uiPriority w:val="99"/>
    <w:rPr>
      <w:lang w:val="en-US" w:eastAsia="zh-CN" w:bidi="ar-SA"/>
    </w:rPr>
    <w:tblPr/>
  </w:style>
  <w:style w:type="table" w:styleId="1404">
    <w:name w:val="List Table 1 Light - Accent 6"/>
    <w:next w:val="1404"/>
    <w:link w:val="1270"/>
    <w:uiPriority w:val="99"/>
    <w:rPr>
      <w:lang w:val="en-US" w:eastAsia="zh-CN" w:bidi="ar-SA"/>
    </w:rPr>
    <w:tblPr/>
  </w:style>
  <w:style w:type="table" w:styleId="1405">
    <w:name w:val="List Table 2"/>
    <w:next w:val="1405"/>
    <w:link w:val="1270"/>
    <w:uiPriority w:val="99"/>
    <w:rPr>
      <w:lang w:val="en-US" w:eastAsia="zh-CN" w:bidi="ar-SA"/>
    </w:rPr>
    <w:tblPr/>
  </w:style>
  <w:style w:type="table" w:styleId="1406">
    <w:name w:val="List Table 2 - Accent 1"/>
    <w:next w:val="1406"/>
    <w:link w:val="1270"/>
    <w:uiPriority w:val="99"/>
    <w:rPr>
      <w:lang w:val="en-US" w:eastAsia="zh-CN" w:bidi="ar-SA"/>
    </w:rPr>
    <w:tblPr/>
  </w:style>
  <w:style w:type="table" w:styleId="1407">
    <w:name w:val="List Table 2 - Accent 2"/>
    <w:next w:val="1407"/>
    <w:link w:val="1270"/>
    <w:uiPriority w:val="99"/>
    <w:rPr>
      <w:lang w:val="en-US" w:eastAsia="zh-CN" w:bidi="ar-SA"/>
    </w:rPr>
    <w:tblPr/>
  </w:style>
  <w:style w:type="table" w:styleId="1408">
    <w:name w:val="List Table 2 - Accent 3"/>
    <w:next w:val="1408"/>
    <w:link w:val="1270"/>
    <w:uiPriority w:val="99"/>
    <w:rPr>
      <w:lang w:val="en-US" w:eastAsia="zh-CN" w:bidi="ar-SA"/>
    </w:rPr>
    <w:tblPr/>
  </w:style>
  <w:style w:type="table" w:styleId="1409">
    <w:name w:val="List Table 2 - Accent 4"/>
    <w:next w:val="1409"/>
    <w:link w:val="1270"/>
    <w:uiPriority w:val="99"/>
    <w:rPr>
      <w:lang w:val="en-US" w:eastAsia="zh-CN" w:bidi="ar-SA"/>
    </w:rPr>
    <w:tblPr/>
  </w:style>
  <w:style w:type="table" w:styleId="1410">
    <w:name w:val="List Table 2 - Accent 5"/>
    <w:next w:val="1410"/>
    <w:link w:val="1270"/>
    <w:uiPriority w:val="99"/>
    <w:rPr>
      <w:lang w:val="en-US" w:eastAsia="zh-CN" w:bidi="ar-SA"/>
    </w:rPr>
    <w:tblPr/>
  </w:style>
  <w:style w:type="table" w:styleId="1411">
    <w:name w:val="List Table 2 - Accent 6"/>
    <w:next w:val="1411"/>
    <w:link w:val="1270"/>
    <w:uiPriority w:val="99"/>
    <w:rPr>
      <w:lang w:val="en-US" w:eastAsia="zh-CN" w:bidi="ar-SA"/>
    </w:rPr>
    <w:tblPr/>
  </w:style>
  <w:style w:type="table" w:styleId="1412">
    <w:name w:val="List Table 3"/>
    <w:next w:val="1412"/>
    <w:link w:val="1270"/>
    <w:uiPriority w:val="99"/>
    <w:rPr>
      <w:lang w:val="en-US" w:eastAsia="zh-CN" w:bidi="ar-SA"/>
    </w:rPr>
    <w:tblPr/>
  </w:style>
  <w:style w:type="table" w:styleId="1413">
    <w:name w:val="List Table 3 - Accent 1"/>
    <w:next w:val="1413"/>
    <w:link w:val="1270"/>
    <w:uiPriority w:val="99"/>
    <w:rPr>
      <w:lang w:val="en-US" w:eastAsia="zh-CN" w:bidi="ar-SA"/>
    </w:rPr>
    <w:tblPr/>
  </w:style>
  <w:style w:type="table" w:styleId="1414">
    <w:name w:val="List Table 3 - Accent 2"/>
    <w:next w:val="1414"/>
    <w:link w:val="1270"/>
    <w:uiPriority w:val="99"/>
    <w:rPr>
      <w:lang w:val="en-US" w:eastAsia="zh-CN" w:bidi="ar-SA"/>
    </w:rPr>
    <w:tblPr/>
  </w:style>
  <w:style w:type="table" w:styleId="1415">
    <w:name w:val="List Table 3 - Accent 3"/>
    <w:next w:val="1415"/>
    <w:link w:val="1270"/>
    <w:uiPriority w:val="99"/>
    <w:rPr>
      <w:lang w:val="en-US" w:eastAsia="zh-CN" w:bidi="ar-SA"/>
    </w:rPr>
    <w:tblPr/>
  </w:style>
  <w:style w:type="table" w:styleId="1416">
    <w:name w:val="List Table 3 - Accent 4"/>
    <w:next w:val="1416"/>
    <w:link w:val="1270"/>
    <w:uiPriority w:val="99"/>
    <w:rPr>
      <w:lang w:val="en-US" w:eastAsia="zh-CN" w:bidi="ar-SA"/>
    </w:rPr>
    <w:tblPr/>
  </w:style>
  <w:style w:type="table" w:styleId="1417">
    <w:name w:val="List Table 3 - Accent 5"/>
    <w:next w:val="1417"/>
    <w:link w:val="1270"/>
    <w:uiPriority w:val="99"/>
    <w:rPr>
      <w:lang w:val="en-US" w:eastAsia="zh-CN" w:bidi="ar-SA"/>
    </w:rPr>
    <w:tblPr/>
  </w:style>
  <w:style w:type="table" w:styleId="1418">
    <w:name w:val="List Table 3 - Accent 6"/>
    <w:next w:val="1418"/>
    <w:link w:val="1270"/>
    <w:uiPriority w:val="99"/>
    <w:rPr>
      <w:lang w:val="en-US" w:eastAsia="zh-CN" w:bidi="ar-SA"/>
    </w:rPr>
    <w:tblPr/>
  </w:style>
  <w:style w:type="table" w:styleId="1419">
    <w:name w:val="List Table 4"/>
    <w:next w:val="1419"/>
    <w:link w:val="1270"/>
    <w:uiPriority w:val="99"/>
    <w:rPr>
      <w:lang w:val="en-US" w:eastAsia="zh-CN" w:bidi="ar-SA"/>
    </w:rPr>
    <w:tblPr/>
  </w:style>
  <w:style w:type="table" w:styleId="1420">
    <w:name w:val="List Table 4 - Accent 1"/>
    <w:next w:val="1420"/>
    <w:link w:val="1270"/>
    <w:uiPriority w:val="99"/>
    <w:rPr>
      <w:lang w:val="en-US" w:eastAsia="zh-CN" w:bidi="ar-SA"/>
    </w:rPr>
    <w:tblPr/>
  </w:style>
  <w:style w:type="table" w:styleId="1421">
    <w:name w:val="List Table 4 - Accent 2"/>
    <w:next w:val="1421"/>
    <w:link w:val="1270"/>
    <w:uiPriority w:val="99"/>
    <w:rPr>
      <w:lang w:val="en-US" w:eastAsia="zh-CN" w:bidi="ar-SA"/>
    </w:rPr>
    <w:tblPr/>
  </w:style>
  <w:style w:type="table" w:styleId="1422">
    <w:name w:val="List Table 4 - Accent 3"/>
    <w:next w:val="1422"/>
    <w:link w:val="1270"/>
    <w:uiPriority w:val="99"/>
    <w:rPr>
      <w:lang w:val="en-US" w:eastAsia="zh-CN" w:bidi="ar-SA"/>
    </w:rPr>
    <w:tblPr/>
  </w:style>
  <w:style w:type="table" w:styleId="1423">
    <w:name w:val="List Table 4 - Accent 4"/>
    <w:next w:val="1423"/>
    <w:link w:val="1270"/>
    <w:uiPriority w:val="99"/>
    <w:rPr>
      <w:lang w:val="en-US" w:eastAsia="zh-CN" w:bidi="ar-SA"/>
    </w:rPr>
    <w:tblPr/>
  </w:style>
  <w:style w:type="table" w:styleId="1424">
    <w:name w:val="List Table 4 - Accent 5"/>
    <w:next w:val="1424"/>
    <w:link w:val="1270"/>
    <w:uiPriority w:val="99"/>
    <w:rPr>
      <w:lang w:val="en-US" w:eastAsia="zh-CN" w:bidi="ar-SA"/>
    </w:rPr>
    <w:tblPr/>
  </w:style>
  <w:style w:type="table" w:styleId="1425">
    <w:name w:val="List Table 4 - Accent 6"/>
    <w:next w:val="1425"/>
    <w:link w:val="1270"/>
    <w:uiPriority w:val="99"/>
    <w:rPr>
      <w:lang w:val="en-US" w:eastAsia="zh-CN" w:bidi="ar-SA"/>
    </w:rPr>
    <w:tblPr/>
  </w:style>
  <w:style w:type="table" w:styleId="1426">
    <w:name w:val="List Table 5 Dark"/>
    <w:next w:val="1426"/>
    <w:link w:val="1270"/>
    <w:uiPriority w:val="99"/>
    <w:rPr>
      <w:lang w:val="en-US" w:eastAsia="zh-CN" w:bidi="ar-SA"/>
    </w:rPr>
    <w:tblPr/>
  </w:style>
  <w:style w:type="table" w:styleId="1427">
    <w:name w:val="List Table 5 Dark - Accent 1"/>
    <w:next w:val="1427"/>
    <w:link w:val="1270"/>
    <w:uiPriority w:val="99"/>
    <w:rPr>
      <w:lang w:val="en-US" w:eastAsia="zh-CN" w:bidi="ar-SA"/>
    </w:rPr>
    <w:tblPr/>
  </w:style>
  <w:style w:type="table" w:styleId="1428">
    <w:name w:val="List Table 5 Dark - Accent 2"/>
    <w:next w:val="1428"/>
    <w:link w:val="1270"/>
    <w:uiPriority w:val="99"/>
    <w:rPr>
      <w:lang w:val="en-US" w:eastAsia="zh-CN" w:bidi="ar-SA"/>
    </w:rPr>
    <w:tblPr/>
  </w:style>
  <w:style w:type="table" w:styleId="1429">
    <w:name w:val="List Table 5 Dark - Accent 3"/>
    <w:next w:val="1429"/>
    <w:link w:val="1270"/>
    <w:uiPriority w:val="99"/>
    <w:rPr>
      <w:lang w:val="en-US" w:eastAsia="zh-CN" w:bidi="ar-SA"/>
    </w:rPr>
    <w:tblPr/>
  </w:style>
  <w:style w:type="table" w:styleId="1430">
    <w:name w:val="List Table 5 Dark - Accent 4"/>
    <w:next w:val="1430"/>
    <w:link w:val="1270"/>
    <w:uiPriority w:val="99"/>
    <w:rPr>
      <w:lang w:val="en-US" w:eastAsia="zh-CN" w:bidi="ar-SA"/>
    </w:rPr>
    <w:tblPr/>
  </w:style>
  <w:style w:type="table" w:styleId="1431">
    <w:name w:val="List Table 5 Dark - Accent 5"/>
    <w:next w:val="1431"/>
    <w:link w:val="1270"/>
    <w:uiPriority w:val="99"/>
    <w:rPr>
      <w:lang w:val="en-US" w:eastAsia="zh-CN" w:bidi="ar-SA"/>
    </w:rPr>
    <w:tblPr/>
  </w:style>
  <w:style w:type="table" w:styleId="1432">
    <w:name w:val="List Table 5 Dark - Accent 6"/>
    <w:next w:val="1432"/>
    <w:link w:val="1270"/>
    <w:uiPriority w:val="99"/>
    <w:rPr>
      <w:lang w:val="en-US" w:eastAsia="zh-CN" w:bidi="ar-SA"/>
    </w:rPr>
    <w:tblPr/>
  </w:style>
  <w:style w:type="table" w:styleId="1433">
    <w:name w:val="List Table 6 Colorful"/>
    <w:next w:val="1433"/>
    <w:link w:val="1270"/>
    <w:uiPriority w:val="99"/>
    <w:rPr>
      <w:lang w:val="en-US" w:eastAsia="zh-CN" w:bidi="ar-SA"/>
    </w:rPr>
    <w:tblPr/>
  </w:style>
  <w:style w:type="table" w:styleId="1434">
    <w:name w:val="List Table 6 Colorful - Accent 1"/>
    <w:next w:val="1434"/>
    <w:link w:val="1270"/>
    <w:uiPriority w:val="99"/>
    <w:rPr>
      <w:lang w:val="en-US" w:eastAsia="zh-CN" w:bidi="ar-SA"/>
    </w:rPr>
    <w:tblPr/>
  </w:style>
  <w:style w:type="table" w:styleId="1435">
    <w:name w:val="List Table 6 Colorful - Accent 2"/>
    <w:next w:val="1435"/>
    <w:link w:val="1270"/>
    <w:uiPriority w:val="99"/>
    <w:rPr>
      <w:lang w:val="en-US" w:eastAsia="zh-CN" w:bidi="ar-SA"/>
    </w:rPr>
    <w:tblPr/>
  </w:style>
  <w:style w:type="table" w:styleId="1436">
    <w:name w:val="List Table 6 Colorful - Accent 3"/>
    <w:next w:val="1436"/>
    <w:link w:val="1270"/>
    <w:uiPriority w:val="99"/>
    <w:rPr>
      <w:lang w:val="en-US" w:eastAsia="zh-CN" w:bidi="ar-SA"/>
    </w:rPr>
    <w:tblPr/>
  </w:style>
  <w:style w:type="table" w:styleId="1437">
    <w:name w:val="List Table 6 Colorful - Accent 4"/>
    <w:next w:val="1437"/>
    <w:link w:val="1270"/>
    <w:uiPriority w:val="99"/>
    <w:rPr>
      <w:lang w:val="en-US" w:eastAsia="zh-CN" w:bidi="ar-SA"/>
    </w:rPr>
    <w:tblPr/>
  </w:style>
  <w:style w:type="table" w:styleId="1438">
    <w:name w:val="List Table 6 Colorful - Accent 5"/>
    <w:next w:val="1438"/>
    <w:link w:val="1270"/>
    <w:uiPriority w:val="99"/>
    <w:rPr>
      <w:lang w:val="en-US" w:eastAsia="zh-CN" w:bidi="ar-SA"/>
    </w:rPr>
    <w:tblPr/>
  </w:style>
  <w:style w:type="table" w:styleId="1439">
    <w:name w:val="List Table 6 Colorful - Accent 6"/>
    <w:next w:val="1439"/>
    <w:link w:val="1270"/>
    <w:uiPriority w:val="99"/>
    <w:rPr>
      <w:lang w:val="en-US" w:eastAsia="zh-CN" w:bidi="ar-SA"/>
    </w:rPr>
    <w:tblPr/>
  </w:style>
  <w:style w:type="table" w:styleId="1440">
    <w:name w:val="List Table 7 Colorful"/>
    <w:next w:val="1440"/>
    <w:link w:val="1270"/>
    <w:uiPriority w:val="99"/>
    <w:rPr>
      <w:lang w:val="en-US" w:eastAsia="zh-CN" w:bidi="ar-SA"/>
    </w:rPr>
    <w:tblPr/>
  </w:style>
  <w:style w:type="table" w:styleId="1441">
    <w:name w:val="List Table 7 Colorful - Accent 1"/>
    <w:next w:val="1441"/>
    <w:link w:val="1270"/>
    <w:uiPriority w:val="99"/>
    <w:rPr>
      <w:lang w:val="en-US" w:eastAsia="zh-CN" w:bidi="ar-SA"/>
    </w:rPr>
    <w:tblPr/>
  </w:style>
  <w:style w:type="table" w:styleId="1442">
    <w:name w:val="List Table 7 Colorful - Accent 2"/>
    <w:next w:val="1442"/>
    <w:link w:val="1270"/>
    <w:uiPriority w:val="99"/>
    <w:rPr>
      <w:lang w:val="en-US" w:eastAsia="zh-CN" w:bidi="ar-SA"/>
    </w:rPr>
    <w:tblPr/>
  </w:style>
  <w:style w:type="table" w:styleId="1443">
    <w:name w:val="List Table 7 Colorful - Accent 3"/>
    <w:next w:val="1443"/>
    <w:link w:val="1270"/>
    <w:uiPriority w:val="99"/>
    <w:rPr>
      <w:lang w:val="en-US" w:eastAsia="zh-CN" w:bidi="ar-SA"/>
    </w:rPr>
    <w:tblPr/>
  </w:style>
  <w:style w:type="table" w:styleId="1444">
    <w:name w:val="List Table 7 Colorful - Accent 4"/>
    <w:next w:val="1444"/>
    <w:link w:val="1270"/>
    <w:uiPriority w:val="99"/>
    <w:rPr>
      <w:lang w:val="en-US" w:eastAsia="zh-CN" w:bidi="ar-SA"/>
    </w:rPr>
    <w:tblPr/>
  </w:style>
  <w:style w:type="table" w:styleId="1445">
    <w:name w:val="List Table 7 Colorful - Accent 5"/>
    <w:next w:val="1445"/>
    <w:link w:val="1270"/>
    <w:uiPriority w:val="99"/>
    <w:rPr>
      <w:lang w:val="en-US" w:eastAsia="zh-CN" w:bidi="ar-SA"/>
    </w:rPr>
    <w:tblPr/>
  </w:style>
  <w:style w:type="table" w:styleId="1446">
    <w:name w:val="List Table 7 Colorful - Accent 6"/>
    <w:next w:val="1446"/>
    <w:link w:val="1270"/>
    <w:uiPriority w:val="99"/>
    <w:rPr>
      <w:lang w:val="en-US" w:eastAsia="zh-CN" w:bidi="ar-SA"/>
    </w:rPr>
    <w:tblPr/>
  </w:style>
  <w:style w:type="table" w:styleId="1447">
    <w:name w:val="Lined - Accent"/>
    <w:next w:val="1447"/>
    <w:link w:val="1270"/>
    <w:uiPriority w:val="99"/>
    <w:rPr>
      <w:color w:val="404040"/>
      <w:lang w:val="en-US" w:eastAsia="zh-CN" w:bidi="ar-SA"/>
    </w:rPr>
    <w:tblPr/>
  </w:style>
  <w:style w:type="table" w:styleId="1448">
    <w:name w:val="Lined - Accent 1"/>
    <w:next w:val="1448"/>
    <w:link w:val="1270"/>
    <w:uiPriority w:val="99"/>
    <w:rPr>
      <w:color w:val="404040"/>
      <w:lang w:val="en-US" w:eastAsia="zh-CN" w:bidi="ar-SA"/>
    </w:rPr>
    <w:tblPr/>
  </w:style>
  <w:style w:type="table" w:styleId="1449">
    <w:name w:val="Lined - Accent 2"/>
    <w:next w:val="1449"/>
    <w:link w:val="1270"/>
    <w:uiPriority w:val="99"/>
    <w:rPr>
      <w:color w:val="404040"/>
      <w:lang w:val="en-US" w:eastAsia="zh-CN" w:bidi="ar-SA"/>
    </w:rPr>
    <w:tblPr/>
  </w:style>
  <w:style w:type="table" w:styleId="1450">
    <w:name w:val="Lined - Accent 3"/>
    <w:next w:val="1450"/>
    <w:link w:val="1270"/>
    <w:uiPriority w:val="99"/>
    <w:rPr>
      <w:color w:val="404040"/>
      <w:lang w:val="en-US" w:eastAsia="zh-CN" w:bidi="ar-SA"/>
    </w:rPr>
    <w:tblPr/>
  </w:style>
  <w:style w:type="table" w:styleId="1451">
    <w:name w:val="Lined - Accent 4"/>
    <w:next w:val="1451"/>
    <w:link w:val="1270"/>
    <w:uiPriority w:val="99"/>
    <w:rPr>
      <w:color w:val="404040"/>
      <w:lang w:val="en-US" w:eastAsia="zh-CN" w:bidi="ar-SA"/>
    </w:rPr>
    <w:tblPr/>
  </w:style>
  <w:style w:type="table" w:styleId="1452">
    <w:name w:val="Lined - Accent 5"/>
    <w:next w:val="1452"/>
    <w:link w:val="1270"/>
    <w:uiPriority w:val="99"/>
    <w:rPr>
      <w:color w:val="404040"/>
      <w:lang w:val="en-US" w:eastAsia="zh-CN" w:bidi="ar-SA"/>
    </w:rPr>
    <w:tblPr/>
  </w:style>
  <w:style w:type="table" w:styleId="1453">
    <w:name w:val="Lined - Accent 6"/>
    <w:next w:val="1453"/>
    <w:link w:val="1270"/>
    <w:uiPriority w:val="99"/>
    <w:rPr>
      <w:color w:val="404040"/>
      <w:lang w:val="en-US" w:eastAsia="zh-CN" w:bidi="ar-SA"/>
    </w:rPr>
    <w:tblPr/>
  </w:style>
  <w:style w:type="table" w:styleId="1454">
    <w:name w:val="Bordered &amp; Lined - Accent"/>
    <w:next w:val="1454"/>
    <w:link w:val="1270"/>
    <w:uiPriority w:val="99"/>
    <w:rPr>
      <w:color w:val="404040"/>
      <w:lang w:val="en-US" w:eastAsia="zh-CN" w:bidi="ar-SA"/>
    </w:rPr>
    <w:tblPr/>
  </w:style>
  <w:style w:type="table" w:styleId="1455">
    <w:name w:val="Bordered &amp; Lined - Accent 1"/>
    <w:next w:val="1455"/>
    <w:link w:val="1270"/>
    <w:uiPriority w:val="99"/>
    <w:rPr>
      <w:color w:val="404040"/>
      <w:lang w:val="en-US" w:eastAsia="zh-CN" w:bidi="ar-SA"/>
    </w:rPr>
    <w:tblPr/>
  </w:style>
  <w:style w:type="table" w:styleId="1456">
    <w:name w:val="Bordered &amp; Lined - Accent 2"/>
    <w:next w:val="1456"/>
    <w:link w:val="1270"/>
    <w:uiPriority w:val="99"/>
    <w:rPr>
      <w:color w:val="404040"/>
      <w:lang w:val="en-US" w:eastAsia="zh-CN" w:bidi="ar-SA"/>
    </w:rPr>
    <w:tblPr/>
  </w:style>
  <w:style w:type="table" w:styleId="1457">
    <w:name w:val="Bordered &amp; Lined - Accent 3"/>
    <w:next w:val="1457"/>
    <w:link w:val="1270"/>
    <w:uiPriority w:val="99"/>
    <w:rPr>
      <w:color w:val="404040"/>
      <w:lang w:val="en-US" w:eastAsia="zh-CN" w:bidi="ar-SA"/>
    </w:rPr>
    <w:tblPr/>
  </w:style>
  <w:style w:type="table" w:styleId="1458">
    <w:name w:val="Bordered &amp; Lined - Accent 4"/>
    <w:next w:val="1458"/>
    <w:link w:val="1270"/>
    <w:uiPriority w:val="99"/>
    <w:rPr>
      <w:color w:val="404040"/>
      <w:lang w:val="en-US" w:eastAsia="zh-CN" w:bidi="ar-SA"/>
    </w:rPr>
    <w:tblPr/>
  </w:style>
  <w:style w:type="table" w:styleId="1459">
    <w:name w:val="Bordered &amp; Lined - Accent 5"/>
    <w:next w:val="1459"/>
    <w:link w:val="1270"/>
    <w:uiPriority w:val="99"/>
    <w:rPr>
      <w:color w:val="404040"/>
      <w:lang w:val="en-US" w:eastAsia="zh-CN" w:bidi="ar-SA"/>
    </w:rPr>
    <w:tblPr/>
  </w:style>
  <w:style w:type="table" w:styleId="1460">
    <w:name w:val="Bordered &amp; Lined - Accent 6"/>
    <w:next w:val="1460"/>
    <w:link w:val="1270"/>
    <w:uiPriority w:val="99"/>
    <w:rPr>
      <w:color w:val="404040"/>
      <w:lang w:val="en-US" w:eastAsia="zh-CN" w:bidi="ar-SA"/>
    </w:rPr>
    <w:tblPr/>
  </w:style>
  <w:style w:type="table" w:styleId="1461">
    <w:name w:val="Bordered"/>
    <w:next w:val="1461"/>
    <w:link w:val="1270"/>
    <w:uiPriority w:val="99"/>
    <w:rPr>
      <w:lang w:val="en-US" w:eastAsia="zh-CN" w:bidi="ar-SA"/>
    </w:rPr>
    <w:tblPr/>
  </w:style>
  <w:style w:type="table" w:styleId="1462">
    <w:name w:val="Bordered - Accent 1"/>
    <w:next w:val="1462"/>
    <w:link w:val="1270"/>
    <w:uiPriority w:val="99"/>
    <w:rPr>
      <w:lang w:val="en-US" w:eastAsia="zh-CN" w:bidi="ar-SA"/>
    </w:rPr>
    <w:tblPr/>
  </w:style>
  <w:style w:type="table" w:styleId="1463">
    <w:name w:val="Bordered - Accent 2"/>
    <w:next w:val="1463"/>
    <w:link w:val="1270"/>
    <w:uiPriority w:val="99"/>
    <w:rPr>
      <w:lang w:val="en-US" w:eastAsia="zh-CN" w:bidi="ar-SA"/>
    </w:rPr>
    <w:tblPr/>
  </w:style>
  <w:style w:type="table" w:styleId="1464">
    <w:name w:val="Bordered - Accent 3"/>
    <w:next w:val="1464"/>
    <w:link w:val="1270"/>
    <w:uiPriority w:val="99"/>
    <w:rPr>
      <w:lang w:val="en-US" w:eastAsia="zh-CN" w:bidi="ar-SA"/>
    </w:rPr>
    <w:tblPr/>
  </w:style>
  <w:style w:type="table" w:styleId="1465">
    <w:name w:val="Bordered - Accent 4"/>
    <w:next w:val="1465"/>
    <w:link w:val="1270"/>
    <w:uiPriority w:val="99"/>
    <w:rPr>
      <w:lang w:val="en-US" w:eastAsia="zh-CN" w:bidi="ar-SA"/>
    </w:rPr>
    <w:tblPr/>
  </w:style>
  <w:style w:type="table" w:styleId="1466">
    <w:name w:val="Bordered - Accent 5"/>
    <w:next w:val="1466"/>
    <w:link w:val="1270"/>
    <w:uiPriority w:val="99"/>
    <w:rPr>
      <w:lang w:val="en-US" w:eastAsia="zh-CN" w:bidi="ar-SA"/>
    </w:rPr>
    <w:tblPr/>
  </w:style>
  <w:style w:type="table" w:styleId="1467">
    <w:name w:val="Bordered - Accent 6"/>
    <w:next w:val="1467"/>
    <w:link w:val="1270"/>
    <w:uiPriority w:val="99"/>
    <w:rPr>
      <w:lang w:val="en-US" w:eastAsia="zh-CN" w:bidi="ar-SA"/>
    </w:rPr>
    <w:tblPr/>
  </w:style>
  <w:style w:type="paragraph" w:styleId="1468">
    <w:name w:val="TOC 标题"/>
    <w:next w:val="1468"/>
    <w:link w:val="1270"/>
    <w:uiPriority w:val="39"/>
    <w:qFormat/>
    <w:rPr>
      <w:lang w:val="en-US" w:eastAsia="zh-CN" w:bidi="ar-SA"/>
    </w:rPr>
  </w:style>
  <w:style w:type="paragraph" w:styleId="1469">
    <w:name w:val="标题 21"/>
    <w:basedOn w:val="1270"/>
    <w:next w:val="1270"/>
    <w:link w:val="1470"/>
    <w:qFormat/>
    <w:pPr>
      <w:jc w:val="center"/>
      <w:keepLines/>
      <w:keepNext/>
      <w:spacing w:before="120" w:line="300" w:lineRule="auto"/>
      <w:outlineLvl w:val="1"/>
    </w:pPr>
    <w:rPr>
      <w:rFonts w:ascii="Arial" w:hAnsi="Arial" w:eastAsia="黑体"/>
      <w:b/>
      <w:sz w:val="30"/>
      <w:szCs w:val="20"/>
    </w:rPr>
  </w:style>
  <w:style w:type="character" w:styleId="1470">
    <w:name w:val="标题 2 字符"/>
    <w:next w:val="1470"/>
    <w:link w:val="1469"/>
    <w:qFormat/>
    <w:rPr>
      <w:rFonts w:ascii="Arial" w:hAnsi="Arial" w:eastAsia="黑体"/>
      <w:b/>
      <w:sz w:val="30"/>
      <w:lang w:val="en-US" w:eastAsia="zh-CN" w:bidi="ar-SA"/>
    </w:rPr>
  </w:style>
  <w:style w:type="paragraph" w:styleId="1471">
    <w:name w:val="标题 41"/>
    <w:basedOn w:val="1270"/>
    <w:next w:val="1270"/>
    <w:link w:val="1472"/>
    <w:qFormat/>
    <w:pPr>
      <w:keepLines/>
      <w:keepNext/>
      <w:spacing w:before="280" w:after="290" w:line="376" w:lineRule="atLeast"/>
      <w:outlineLvl w:val="3"/>
    </w:pPr>
    <w:rPr>
      <w:rFonts w:ascii="Arial" w:hAnsi="Arial" w:eastAsia="黑体"/>
      <w:b/>
      <w:sz w:val="28"/>
      <w:szCs w:val="20"/>
    </w:rPr>
  </w:style>
  <w:style w:type="character" w:styleId="1472">
    <w:name w:val="标题 4 字符"/>
    <w:next w:val="1472"/>
    <w:link w:val="1471"/>
    <w:qFormat/>
    <w:rPr>
      <w:rFonts w:ascii="Arial" w:hAnsi="Arial" w:eastAsia="黑体"/>
      <w:b/>
      <w:sz w:val="28"/>
    </w:rPr>
  </w:style>
  <w:style w:type="paragraph" w:styleId="1473">
    <w:name w:val="标题 71"/>
    <w:basedOn w:val="1270"/>
    <w:next w:val="1270"/>
    <w:link w:val="1474"/>
    <w:qFormat/>
    <w:pPr>
      <w:keepLines/>
      <w:keepNext/>
      <w:spacing w:before="240" w:after="64" w:line="320" w:lineRule="atLeast"/>
      <w:outlineLvl w:val="6"/>
    </w:pPr>
    <w:rPr>
      <w:b/>
      <w:sz w:val="24"/>
      <w:szCs w:val="20"/>
    </w:rPr>
  </w:style>
  <w:style w:type="character" w:styleId="1474">
    <w:name w:val="标题 7 字符"/>
    <w:next w:val="1474"/>
    <w:link w:val="1473"/>
    <w:qFormat/>
    <w:rPr>
      <w:b/>
      <w:sz w:val="24"/>
    </w:rPr>
  </w:style>
  <w:style w:type="paragraph" w:styleId="1475">
    <w:name w:val="标题 81"/>
    <w:basedOn w:val="1270"/>
    <w:next w:val="1270"/>
    <w:link w:val="1476"/>
    <w:qFormat/>
    <w:pPr>
      <w:keepLines/>
      <w:keepNext/>
      <w:spacing w:before="240" w:after="64" w:line="320" w:lineRule="atLeast"/>
      <w:outlineLvl w:val="7"/>
    </w:pPr>
    <w:rPr>
      <w:rFonts w:ascii="Arial" w:hAnsi="Arial" w:eastAsia="黑体"/>
      <w:sz w:val="24"/>
      <w:szCs w:val="20"/>
    </w:rPr>
  </w:style>
  <w:style w:type="character" w:styleId="1476">
    <w:name w:val="标题 8 字符"/>
    <w:next w:val="1476"/>
    <w:link w:val="1475"/>
    <w:qFormat/>
    <w:rPr>
      <w:rFonts w:ascii="Arial" w:hAnsi="Arial" w:eastAsia="黑体"/>
      <w:sz w:val="24"/>
    </w:rPr>
  </w:style>
  <w:style w:type="paragraph" w:styleId="1477">
    <w:name w:val="标题 91"/>
    <w:basedOn w:val="1270"/>
    <w:next w:val="1270"/>
    <w:link w:val="1478"/>
    <w:qFormat/>
    <w:pPr>
      <w:keepLines/>
      <w:keepNext/>
      <w:spacing w:before="240" w:after="64" w:line="320" w:lineRule="atLeast"/>
      <w:outlineLvl w:val="8"/>
    </w:pPr>
    <w:rPr>
      <w:rFonts w:ascii="Arial" w:hAnsi="Arial" w:eastAsia="黑体"/>
      <w:szCs w:val="20"/>
    </w:rPr>
  </w:style>
  <w:style w:type="character" w:styleId="1478">
    <w:name w:val="标题 9 字符"/>
    <w:next w:val="1478"/>
    <w:link w:val="1477"/>
    <w:qFormat/>
    <w:rPr>
      <w:rFonts w:ascii="Arial" w:hAnsi="Arial" w:eastAsia="黑体"/>
      <w:sz w:val="21"/>
    </w:rPr>
  </w:style>
  <w:style w:type="character" w:styleId="1479">
    <w:name w:val="默认段落字体1"/>
    <w:next w:val="1479"/>
    <w:link w:val="1270"/>
    <w:uiPriority w:val="1"/>
    <w:unhideWhenUsed/>
    <w:qFormat/>
  </w:style>
  <w:style w:type="table" w:styleId="1480">
    <w:name w:val="普通表格1"/>
    <w:next w:val="1480"/>
    <w:link w:val="1270"/>
    <w:uiPriority w:val="99"/>
    <w:unhideWhenUsed/>
    <w:qFormat/>
    <w:rPr>
      <w:lang w:val="en-US" w:eastAsia="zh-CN" w:bidi="ar-SA"/>
    </w:rPr>
    <w:tblPr/>
  </w:style>
  <w:style w:type="paragraph" w:styleId="1481">
    <w:name w:val="目录 71"/>
    <w:basedOn w:val="1270"/>
    <w:next w:val="1270"/>
    <w:link w:val="1270"/>
    <w:qFormat/>
    <w:pPr>
      <w:ind w:left="2520"/>
    </w:pPr>
  </w:style>
  <w:style w:type="paragraph" w:styleId="1482">
    <w:name w:val="正文缩进11"/>
    <w:basedOn w:val="1270"/>
    <w:next w:val="1482"/>
    <w:link w:val="1483"/>
    <w:qFormat/>
    <w:pPr>
      <w:ind w:firstLine="420"/>
      <w:jc w:val="left"/>
    </w:pPr>
    <w:rPr>
      <w:rFonts w:ascii="宋体"/>
      <w:sz w:val="24"/>
    </w:rPr>
  </w:style>
  <w:style w:type="character" w:styleId="1483">
    <w:name w:val="正文缩进 字符"/>
    <w:next w:val="1483"/>
    <w:link w:val="1482"/>
    <w:qFormat/>
    <w:rPr>
      <w:rFonts w:ascii="宋体" w:eastAsia="宋体"/>
      <w:sz w:val="24"/>
      <w:szCs w:val="24"/>
      <w:lang w:val="en-US" w:eastAsia="zh-CN" w:bidi="ar-SA"/>
    </w:rPr>
  </w:style>
  <w:style w:type="paragraph" w:styleId="1484">
    <w:name w:val="题注1"/>
    <w:basedOn w:val="1270"/>
    <w:next w:val="1270"/>
    <w:link w:val="1270"/>
    <w:qFormat/>
    <w:pPr>
      <w:spacing w:line="480" w:lineRule="auto"/>
    </w:pPr>
    <w:rPr>
      <w:rFonts w:ascii="华文中宋" w:hAnsi="华文中宋" w:eastAsia="华文中宋"/>
      <w:sz w:val="36"/>
      <w:szCs w:val="20"/>
    </w:rPr>
  </w:style>
  <w:style w:type="paragraph" w:styleId="1485">
    <w:name w:val="文档结构图1"/>
    <w:basedOn w:val="1270"/>
    <w:next w:val="1485"/>
    <w:link w:val="1486"/>
    <w:qFormat/>
    <w:pPr>
      <w:shd w:val="clear" w:color="auto" w:fill="000080"/>
    </w:pPr>
  </w:style>
  <w:style w:type="character" w:styleId="1486">
    <w:name w:val="文档结构图 字符"/>
    <w:next w:val="1486"/>
    <w:link w:val="1485"/>
    <w:qFormat/>
    <w:rPr>
      <w:sz w:val="21"/>
      <w:szCs w:val="24"/>
      <w:shd w:val="clear" w:color="auto" w:fill="000080"/>
    </w:rPr>
  </w:style>
  <w:style w:type="paragraph" w:styleId="1487">
    <w:name w:val="批注文字1"/>
    <w:basedOn w:val="1270"/>
    <w:next w:val="1487"/>
    <w:link w:val="1488"/>
    <w:uiPriority w:val="99"/>
    <w:qFormat/>
    <w:pPr>
      <w:jc w:val="left"/>
    </w:pPr>
  </w:style>
  <w:style w:type="character" w:styleId="1488">
    <w:name w:val="批注文字 字符1"/>
    <w:next w:val="1488"/>
    <w:link w:val="1487"/>
    <w:uiPriority w:val="99"/>
    <w:qFormat/>
    <w:rPr>
      <w:sz w:val="21"/>
      <w:szCs w:val="24"/>
    </w:rPr>
  </w:style>
  <w:style w:type="paragraph" w:styleId="1489">
    <w:name w:val="正文文本 31"/>
    <w:basedOn w:val="1270"/>
    <w:next w:val="1489"/>
    <w:link w:val="1490"/>
    <w:qFormat/>
    <w:pPr>
      <w:spacing w:after="120"/>
    </w:pPr>
    <w:rPr>
      <w:sz w:val="16"/>
      <w:szCs w:val="16"/>
    </w:rPr>
  </w:style>
  <w:style w:type="character" w:styleId="1490">
    <w:name w:val="正文文本 3 字符"/>
    <w:next w:val="1490"/>
    <w:link w:val="1489"/>
    <w:qFormat/>
    <w:rPr>
      <w:sz w:val="16"/>
      <w:szCs w:val="16"/>
    </w:rPr>
  </w:style>
  <w:style w:type="paragraph" w:styleId="1491">
    <w:name w:val="正文文本1"/>
    <w:basedOn w:val="1270"/>
    <w:next w:val="1270"/>
    <w:link w:val="1492"/>
    <w:qFormat/>
    <w:pPr>
      <w:spacing w:before="120" w:line="22" w:lineRule="atLeast"/>
      <w:tabs>
        <w:tab w:val="left" w:pos="567" w:leader="none"/>
      </w:tabs>
    </w:pPr>
    <w:rPr>
      <w:rFonts w:ascii="宋体" w:hAnsi="宋体"/>
      <w:sz w:val="24"/>
    </w:rPr>
  </w:style>
  <w:style w:type="character" w:styleId="1492">
    <w:name w:val="正文文本 字符"/>
    <w:next w:val="1492"/>
    <w:link w:val="1491"/>
    <w:qFormat/>
    <w:rPr>
      <w:rFonts w:ascii="宋体" w:hAnsi="宋体"/>
      <w:sz w:val="24"/>
      <w:szCs w:val="24"/>
    </w:rPr>
  </w:style>
  <w:style w:type="paragraph" w:styleId="1493">
    <w:name w:val="正文文本缩进11"/>
    <w:basedOn w:val="1270"/>
    <w:next w:val="1491"/>
    <w:link w:val="1494"/>
    <w:qFormat/>
    <w:pPr>
      <w:ind w:firstLine="570"/>
      <w:spacing w:line="360" w:lineRule="auto"/>
    </w:pPr>
    <w:rPr>
      <w:sz w:val="24"/>
    </w:rPr>
  </w:style>
  <w:style w:type="character" w:styleId="1494">
    <w:name w:val="正文文本缩进 字符"/>
    <w:next w:val="1494"/>
    <w:link w:val="1493"/>
    <w:qFormat/>
    <w:rPr>
      <w:rFonts w:eastAsia="宋体"/>
      <w:sz w:val="24"/>
      <w:szCs w:val="24"/>
      <w:lang w:val="en-US" w:eastAsia="zh-CN" w:bidi="ar-SA"/>
    </w:rPr>
  </w:style>
  <w:style w:type="paragraph" w:styleId="1495">
    <w:name w:val="列表 21"/>
    <w:basedOn w:val="1270"/>
    <w:next w:val="1495"/>
    <w:link w:val="1270"/>
    <w:qFormat/>
    <w:pPr>
      <w:ind w:left="100" w:hanging="200"/>
    </w:pPr>
  </w:style>
  <w:style w:type="paragraph" w:styleId="1496">
    <w:name w:val="文本块1"/>
    <w:basedOn w:val="1270"/>
    <w:next w:val="1496"/>
    <w:link w:val="1270"/>
    <w:qFormat/>
    <w:pPr>
      <w:ind w:left="480" w:right="-341" w:firstLine="513"/>
      <w:widowControl/>
    </w:pPr>
    <w:rPr>
      <w:sz w:val="24"/>
      <w:szCs w:val="20"/>
    </w:rPr>
  </w:style>
  <w:style w:type="paragraph" w:styleId="1497">
    <w:name w:val="目录 51"/>
    <w:basedOn w:val="1270"/>
    <w:next w:val="1270"/>
    <w:link w:val="1270"/>
    <w:qFormat/>
    <w:pPr>
      <w:ind w:left="1680"/>
    </w:pPr>
  </w:style>
  <w:style w:type="paragraph" w:styleId="1498">
    <w:name w:val="目录 31"/>
    <w:basedOn w:val="1270"/>
    <w:next w:val="1270"/>
    <w:link w:val="1270"/>
    <w:uiPriority w:val="39"/>
    <w:qFormat/>
    <w:pPr>
      <w:ind w:left="840"/>
    </w:pPr>
  </w:style>
  <w:style w:type="paragraph" w:styleId="1499">
    <w:name w:val="纯文本11"/>
    <w:basedOn w:val="1270"/>
    <w:next w:val="1482"/>
    <w:link w:val="1500"/>
    <w:qFormat/>
    <w:rPr>
      <w:rFonts w:hint="eastAsia" w:ascii="宋体" w:hAnsi="Courier New"/>
      <w:szCs w:val="20"/>
    </w:rPr>
  </w:style>
  <w:style w:type="character" w:styleId="1500">
    <w:name w:val="纯文本 字符2"/>
    <w:next w:val="1500"/>
    <w:link w:val="1499"/>
    <w:qFormat/>
    <w:rPr>
      <w:rFonts w:hint="eastAsia" w:ascii="宋体" w:hAnsi="Courier New" w:eastAsia="宋体" w:cs="宋体"/>
      <w:sz w:val="21"/>
    </w:rPr>
  </w:style>
  <w:style w:type="paragraph" w:styleId="1501">
    <w:name w:val="目录 81"/>
    <w:basedOn w:val="1270"/>
    <w:next w:val="1270"/>
    <w:link w:val="1270"/>
    <w:qFormat/>
    <w:pPr>
      <w:ind w:left="2940"/>
    </w:pPr>
  </w:style>
  <w:style w:type="paragraph" w:styleId="1502">
    <w:name w:val="日期1"/>
    <w:basedOn w:val="1270"/>
    <w:next w:val="1270"/>
    <w:link w:val="1503"/>
    <w:qFormat/>
    <w:pPr>
      <w:ind w:left="100"/>
    </w:pPr>
    <w:rPr>
      <w:rFonts w:ascii="仿宋_GB2312" w:hAnsi="宋体" w:eastAsia="仿宋_GB2312"/>
      <w:color w:val="000000"/>
      <w:sz w:val="24"/>
    </w:rPr>
  </w:style>
  <w:style w:type="character" w:styleId="1503">
    <w:name w:val="日期 字符"/>
    <w:next w:val="1503"/>
    <w:link w:val="1502"/>
    <w:qFormat/>
    <w:rPr>
      <w:rFonts w:ascii="仿宋_GB2312" w:hAnsi="宋体" w:eastAsia="仿宋_GB2312"/>
      <w:color w:val="000000"/>
      <w:sz w:val="24"/>
      <w:szCs w:val="24"/>
    </w:rPr>
  </w:style>
  <w:style w:type="paragraph" w:styleId="1504">
    <w:name w:val="正文文本缩进 21"/>
    <w:basedOn w:val="1270"/>
    <w:next w:val="1504"/>
    <w:link w:val="1505"/>
    <w:qFormat/>
    <w:pPr>
      <w:ind w:firstLine="480"/>
    </w:pPr>
    <w:rPr>
      <w:rFonts w:ascii="仿宋_GB2312" w:eastAsia="仿宋_GB2312"/>
      <w:sz w:val="24"/>
    </w:rPr>
  </w:style>
  <w:style w:type="character" w:styleId="1505">
    <w:name w:val="正文文本缩进 2 字符"/>
    <w:next w:val="1505"/>
    <w:link w:val="1504"/>
    <w:qFormat/>
    <w:rPr>
      <w:rFonts w:ascii="仿宋_GB2312" w:eastAsia="仿宋_GB2312"/>
      <w:sz w:val="24"/>
      <w:szCs w:val="24"/>
    </w:rPr>
  </w:style>
  <w:style w:type="paragraph" w:styleId="1506">
    <w:name w:val="批注框文本1"/>
    <w:basedOn w:val="1270"/>
    <w:next w:val="1506"/>
    <w:link w:val="1507"/>
    <w:qFormat/>
    <w:rPr>
      <w:sz w:val="18"/>
      <w:szCs w:val="18"/>
    </w:rPr>
  </w:style>
  <w:style w:type="character" w:styleId="1507">
    <w:name w:val="批注框文本 字符"/>
    <w:next w:val="1507"/>
    <w:link w:val="1506"/>
    <w:qFormat/>
    <w:rPr>
      <w:sz w:val="18"/>
      <w:szCs w:val="18"/>
    </w:rPr>
  </w:style>
  <w:style w:type="paragraph" w:styleId="1508">
    <w:name w:val="页脚1"/>
    <w:basedOn w:val="1270"/>
    <w:next w:val="1508"/>
    <w:link w:val="1509"/>
    <w:uiPriority w:val="99"/>
    <w:qFormat/>
    <w:pPr>
      <w:jc w:val="left"/>
      <w:tabs>
        <w:tab w:val="center" w:pos="4153" w:leader="none"/>
        <w:tab w:val="right" w:pos="8306" w:leader="none"/>
      </w:tabs>
    </w:pPr>
    <w:rPr>
      <w:rFonts w:ascii="宋体"/>
      <w:sz w:val="18"/>
      <w:szCs w:val="20"/>
    </w:rPr>
  </w:style>
  <w:style w:type="character" w:styleId="1509">
    <w:name w:val="页脚 字符"/>
    <w:next w:val="1509"/>
    <w:link w:val="1508"/>
    <w:uiPriority w:val="99"/>
    <w:qFormat/>
    <w:rPr>
      <w:rFonts w:ascii="宋体" w:eastAsia="宋体"/>
      <w:sz w:val="18"/>
      <w:lang w:val="en-US" w:eastAsia="zh-CN" w:bidi="ar-SA"/>
    </w:rPr>
  </w:style>
  <w:style w:type="paragraph" w:styleId="1510">
    <w:name w:val="页眉1"/>
    <w:basedOn w:val="1270"/>
    <w:next w:val="1510"/>
    <w:link w:val="1511"/>
    <w:qFormat/>
    <w:pPr>
      <w:jc w:val="center"/>
      <w:tabs>
        <w:tab w:val="center" w:pos="4153" w:leader="none"/>
        <w:tab w:val="right" w:pos="8306" w:leader="none"/>
      </w:tabs>
      <w:pBdr>
        <w:bottom w:val="single" w:color="000000" w:sz="6" w:space="1"/>
      </w:pBdr>
    </w:pPr>
    <w:rPr>
      <w:sz w:val="18"/>
      <w:szCs w:val="18"/>
    </w:rPr>
  </w:style>
  <w:style w:type="character" w:styleId="1511">
    <w:name w:val="页眉 字符"/>
    <w:next w:val="1511"/>
    <w:link w:val="1510"/>
    <w:qFormat/>
    <w:rPr>
      <w:rFonts w:eastAsia="宋体"/>
      <w:sz w:val="18"/>
      <w:szCs w:val="18"/>
      <w:lang w:val="en-US" w:eastAsia="zh-CN" w:bidi="ar-SA"/>
    </w:rPr>
  </w:style>
  <w:style w:type="paragraph" w:styleId="1512">
    <w:name w:val="目录 11"/>
    <w:basedOn w:val="1270"/>
    <w:next w:val="1270"/>
    <w:link w:val="1270"/>
    <w:uiPriority w:val="39"/>
    <w:qFormat/>
    <w:pPr>
      <w:spacing w:line="300" w:lineRule="auto"/>
      <w:tabs>
        <w:tab w:val="left" w:pos="1050" w:leader="none"/>
        <w:tab w:val="right" w:pos="8937" w:leader="dot"/>
      </w:tabs>
    </w:pPr>
    <w:rPr>
      <w:rFonts w:ascii="宋体" w:hAnsi="宋体"/>
      <w:b/>
      <w:sz w:val="24"/>
    </w:rPr>
  </w:style>
  <w:style w:type="paragraph" w:styleId="1513">
    <w:name w:val="目录 41"/>
    <w:basedOn w:val="1270"/>
    <w:next w:val="1270"/>
    <w:link w:val="1270"/>
    <w:qFormat/>
    <w:pPr>
      <w:ind w:left="1260"/>
    </w:pPr>
  </w:style>
  <w:style w:type="paragraph" w:styleId="1514">
    <w:name w:val="脚注文本1"/>
    <w:basedOn w:val="1270"/>
    <w:next w:val="1514"/>
    <w:link w:val="1270"/>
    <w:uiPriority w:val="99"/>
    <w:unhideWhenUsed/>
    <w:qFormat/>
    <w:pPr>
      <w:jc w:val="left"/>
    </w:pPr>
    <w:rPr>
      <w:sz w:val="18"/>
      <w:szCs w:val="18"/>
    </w:rPr>
  </w:style>
  <w:style w:type="paragraph" w:styleId="1515">
    <w:name w:val="目录 61"/>
    <w:basedOn w:val="1270"/>
    <w:next w:val="1270"/>
    <w:link w:val="1270"/>
    <w:qFormat/>
    <w:pPr>
      <w:ind w:left="2100"/>
    </w:pPr>
  </w:style>
  <w:style w:type="paragraph" w:styleId="1516">
    <w:name w:val="正文文本缩进 31"/>
    <w:basedOn w:val="1270"/>
    <w:next w:val="1516"/>
    <w:link w:val="1517"/>
    <w:qFormat/>
    <w:pPr>
      <w:ind w:left="720" w:firstLine="480"/>
      <w:jc w:val="left"/>
      <w:spacing w:before="120" w:line="22" w:lineRule="atLeast"/>
    </w:pPr>
    <w:rPr>
      <w:rFonts w:ascii="宋体"/>
      <w:sz w:val="24"/>
      <w:szCs w:val="20"/>
    </w:rPr>
  </w:style>
  <w:style w:type="character" w:styleId="1517">
    <w:name w:val="正文文本缩进 3 字符"/>
    <w:next w:val="1517"/>
    <w:link w:val="1516"/>
    <w:qFormat/>
    <w:rPr>
      <w:rFonts w:ascii="宋体"/>
      <w:sz w:val="24"/>
    </w:rPr>
  </w:style>
  <w:style w:type="paragraph" w:styleId="1518">
    <w:name w:val="目录 21"/>
    <w:basedOn w:val="1270"/>
    <w:next w:val="1270"/>
    <w:link w:val="1270"/>
    <w:uiPriority w:val="39"/>
    <w:qFormat/>
    <w:pPr>
      <w:ind w:left="420"/>
      <w:spacing w:line="312" w:lineRule="auto"/>
      <w:tabs>
        <w:tab w:val="right" w:pos="8937" w:leader="dot"/>
      </w:tabs>
    </w:pPr>
  </w:style>
  <w:style w:type="paragraph" w:styleId="1519">
    <w:name w:val="目录 91"/>
    <w:basedOn w:val="1270"/>
    <w:next w:val="1270"/>
    <w:link w:val="1270"/>
    <w:qFormat/>
    <w:pPr>
      <w:ind w:left="3360"/>
    </w:pPr>
  </w:style>
  <w:style w:type="paragraph" w:styleId="1520">
    <w:name w:val="HTML 预设格式1"/>
    <w:basedOn w:val="1270"/>
    <w:next w:val="1520"/>
    <w:link w:val="152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521">
    <w:name w:val="HTML 预设格式 字符"/>
    <w:next w:val="1521"/>
    <w:link w:val="1520"/>
    <w:qFormat/>
    <w:rPr>
      <w:rFonts w:ascii="宋体" w:hAnsi="宋体" w:cs="宋体"/>
      <w:sz w:val="24"/>
      <w:szCs w:val="24"/>
    </w:rPr>
  </w:style>
  <w:style w:type="paragraph" w:styleId="1522">
    <w:name w:val="普通(网站)1"/>
    <w:basedOn w:val="1270"/>
    <w:next w:val="1522"/>
    <w:link w:val="1270"/>
    <w:uiPriority w:val="99"/>
    <w:unhideWhenUsed/>
    <w:qFormat/>
    <w:pPr>
      <w:jc w:val="left"/>
      <w:spacing w:before="100" w:beforeAutospacing="1" w:after="100" w:afterAutospacing="1"/>
      <w:widowControl/>
    </w:pPr>
    <w:rPr>
      <w:rFonts w:ascii="宋体" w:hAnsi="宋体" w:cs="宋体"/>
      <w:sz w:val="24"/>
    </w:rPr>
  </w:style>
  <w:style w:type="paragraph" w:styleId="1523">
    <w:name w:val="索引 111"/>
    <w:basedOn w:val="1270"/>
    <w:next w:val="1270"/>
    <w:link w:val="1270"/>
    <w:qFormat/>
    <w:rPr>
      <w:szCs w:val="20"/>
    </w:rPr>
  </w:style>
  <w:style w:type="paragraph" w:styleId="1524">
    <w:name w:val="标题1"/>
    <w:basedOn w:val="1270"/>
    <w:next w:val="1524"/>
    <w:link w:val="1525"/>
    <w:qFormat/>
    <w:pPr>
      <w:jc w:val="center"/>
      <w:outlineLvl w:val="0"/>
    </w:pPr>
    <w:rPr>
      <w:b/>
      <w:sz w:val="32"/>
      <w:szCs w:val="20"/>
    </w:rPr>
  </w:style>
  <w:style w:type="character" w:styleId="1525">
    <w:name w:val="标题 字符"/>
    <w:next w:val="1525"/>
    <w:link w:val="1524"/>
    <w:qFormat/>
    <w:rPr>
      <w:b/>
      <w:sz w:val="32"/>
    </w:rPr>
  </w:style>
  <w:style w:type="paragraph" w:styleId="1526">
    <w:name w:val="批注主题1"/>
    <w:basedOn w:val="1487"/>
    <w:next w:val="1487"/>
    <w:link w:val="1527"/>
    <w:qFormat/>
    <w:rPr>
      <w:b/>
      <w:bCs/>
      <w:lang w:val="en-US" w:eastAsia="zh-CN"/>
    </w:rPr>
  </w:style>
  <w:style w:type="character" w:styleId="1527">
    <w:name w:val="批注主题 字符"/>
    <w:next w:val="1527"/>
    <w:link w:val="1526"/>
    <w:qFormat/>
    <w:rPr>
      <w:rFonts w:ascii="Times New Roman" w:hAnsi="Times New Roman" w:eastAsia="宋体" w:cs="Times New Roman"/>
      <w:b/>
      <w:bCs/>
      <w:sz w:val="21"/>
      <w:szCs w:val="24"/>
      <w:lang w:val="en-US" w:eastAsia="zh-CN" w:bidi="ar-SA"/>
    </w:rPr>
  </w:style>
  <w:style w:type="paragraph" w:styleId="1528">
    <w:name w:val="正文首行缩进 21"/>
    <w:basedOn w:val="1493"/>
    <w:next w:val="1528"/>
    <w:link w:val="1529"/>
    <w:qFormat/>
    <w:pPr>
      <w:ind w:left="420" w:firstLine="420"/>
      <w:spacing w:after="120" w:line="480" w:lineRule="exact"/>
    </w:pPr>
  </w:style>
  <w:style w:type="character" w:styleId="1529">
    <w:name w:val="正文文本首行缩进 2 字符"/>
    <w:next w:val="1529"/>
    <w:link w:val="1528"/>
    <w:qFormat/>
    <w:rPr>
      <w:rFonts w:eastAsia="宋体"/>
      <w:sz w:val="24"/>
      <w:szCs w:val="24"/>
      <w:lang w:val="en-US" w:eastAsia="zh-CN" w:bidi="ar-SA"/>
    </w:rPr>
  </w:style>
  <w:style w:type="table" w:styleId="1530">
    <w:name w:val="网格型1"/>
    <w:basedOn w:val="1480"/>
    <w:next w:val="1530"/>
    <w:link w:val="1270"/>
    <w:uiPriority w:val="39"/>
    <w:qFormat/>
    <w:tblPr/>
  </w:style>
  <w:style w:type="table" w:styleId="1531">
    <w:name w:val="中等深浅网格 1 - 强调文字颜色 21"/>
    <w:basedOn w:val="1480"/>
    <w:next w:val="1531"/>
    <w:link w:val="1270"/>
    <w:qFormat/>
    <w:rPr>
      <w:sz w:val="21"/>
      <w:szCs w:val="24"/>
    </w:rPr>
    <w:tblPr/>
  </w:style>
  <w:style w:type="character" w:styleId="1532">
    <w:name w:val="要点1"/>
    <w:next w:val="1532"/>
    <w:link w:val="1270"/>
    <w:qFormat/>
    <w:rPr>
      <w:b/>
      <w:bCs/>
    </w:rPr>
  </w:style>
  <w:style w:type="character" w:styleId="1533">
    <w:name w:val="页码1"/>
    <w:next w:val="1533"/>
    <w:link w:val="1270"/>
    <w:qFormat/>
  </w:style>
  <w:style w:type="character" w:styleId="1534">
    <w:name w:val="已访问的超链接1"/>
    <w:next w:val="1534"/>
    <w:link w:val="1270"/>
    <w:qFormat/>
    <w:rPr>
      <w:color w:val="800080"/>
      <w:u w:val="single"/>
    </w:rPr>
  </w:style>
  <w:style w:type="character" w:styleId="1535">
    <w:name w:val="强调1"/>
    <w:next w:val="1535"/>
    <w:link w:val="1270"/>
    <w:qFormat/>
    <w:rPr>
      <w:color w:val="cc0033"/>
    </w:rPr>
  </w:style>
  <w:style w:type="character" w:styleId="1536">
    <w:name w:val="超链接1"/>
    <w:next w:val="1536"/>
    <w:link w:val="1270"/>
    <w:uiPriority w:val="99"/>
    <w:qFormat/>
    <w:rPr>
      <w:color w:val="0000ff"/>
      <w:u w:val="single"/>
    </w:rPr>
  </w:style>
  <w:style w:type="character" w:styleId="1537">
    <w:name w:val="批注引用1"/>
    <w:next w:val="1537"/>
    <w:link w:val="1270"/>
    <w:uiPriority w:val="99"/>
    <w:qFormat/>
    <w:rPr>
      <w:sz w:val="21"/>
      <w:szCs w:val="21"/>
    </w:rPr>
  </w:style>
  <w:style w:type="character" w:styleId="1538">
    <w:name w:val="HTML 引文1"/>
    <w:next w:val="1538"/>
    <w:link w:val="1270"/>
    <w:qFormat/>
    <w:rPr>
      <w:i/>
      <w:iCs/>
    </w:rPr>
  </w:style>
  <w:style w:type="character" w:styleId="1539">
    <w:name w:val="批注文字 字符"/>
    <w:next w:val="1539"/>
    <w:link w:val="1270"/>
    <w:uiPriority w:val="99"/>
    <w:qFormat/>
    <w:rPr>
      <w:rFonts w:ascii="Times New Roman" w:hAnsi="Times New Roman" w:eastAsia="宋体" w:cs="Times New Roman"/>
      <w:sz w:val="24"/>
      <w:lang w:val="en-US" w:eastAsia="zh-CN" w:bidi="ar-SA"/>
    </w:rPr>
  </w:style>
  <w:style w:type="paragraph" w:styleId="1540">
    <w:name w:val="样式4"/>
    <w:basedOn w:val="1270"/>
    <w:next w:val="1540"/>
    <w:link w:val="1270"/>
    <w:qFormat/>
    <w:rPr>
      <w:sz w:val="24"/>
    </w:rPr>
  </w:style>
  <w:style w:type="paragraph" w:styleId="1541">
    <w:name w:val="xl25"/>
    <w:basedOn w:val="1270"/>
    <w:next w:val="1541"/>
    <w:link w:val="12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character" w:styleId="1542">
    <w:name w:val="c21"/>
    <w:next w:val="1542"/>
    <w:link w:val="1270"/>
    <w:qFormat/>
    <w:rPr>
      <w:rFonts w:ascii="ˎ̥" w:hAnsi="ˎ̥"/>
      <w:color w:val="000000"/>
      <w:sz w:val="20"/>
      <w:szCs w:val="20"/>
      <w:u w:val="none"/>
    </w:rPr>
  </w:style>
  <w:style w:type="character" w:styleId="1543">
    <w:name w:val="title4"/>
    <w:next w:val="1543"/>
    <w:link w:val="1270"/>
    <w:qFormat/>
    <w:rPr>
      <w:b/>
      <w:bCs/>
      <w:color w:val="1d87b3"/>
      <w:sz w:val="15"/>
      <w:szCs w:val="15"/>
    </w:rPr>
  </w:style>
  <w:style w:type="character" w:styleId="1544">
    <w:name w:val="标题 2 Char Char"/>
    <w:next w:val="1544"/>
    <w:link w:val="1270"/>
    <w:qFormat/>
    <w:rPr>
      <w:rFonts w:ascii="Arial" w:hAnsi="Arial" w:eastAsia="黑体"/>
      <w:b/>
      <w:bCs/>
      <w:sz w:val="32"/>
      <w:szCs w:val="32"/>
      <w:lang w:val="en-US" w:eastAsia="zh-CN" w:bidi="ar-SA"/>
    </w:rPr>
  </w:style>
  <w:style w:type="character" w:styleId="1545">
    <w:name w:val="black1"/>
    <w:next w:val="1545"/>
    <w:link w:val="1270"/>
    <w:qFormat/>
    <w:rPr>
      <w:color w:val="000000"/>
    </w:rPr>
  </w:style>
  <w:style w:type="character" w:styleId="1546">
    <w:name w:val="street-address"/>
    <w:next w:val="1546"/>
    <w:link w:val="1270"/>
    <w:qFormat/>
  </w:style>
  <w:style w:type="character" w:styleId="1547">
    <w:name w:val="locality"/>
    <w:next w:val="1547"/>
    <w:link w:val="1270"/>
    <w:qFormat/>
  </w:style>
  <w:style w:type="character" w:styleId="1548">
    <w:name w:val="正文文本缩进 Char1"/>
    <w:next w:val="1548"/>
    <w:link w:val="1549"/>
    <w:qFormat/>
    <w:rPr>
      <w:rFonts w:ascii="宋体" w:hAnsi="宋体" w:eastAsia="宋体"/>
      <w:sz w:val="24"/>
      <w:szCs w:val="24"/>
      <w:lang w:bidi="ar-SA"/>
    </w:rPr>
  </w:style>
  <w:style w:type="paragraph" w:styleId="1549">
    <w:name w:val="正文文本缩进1"/>
    <w:basedOn w:val="1270"/>
    <w:next w:val="1549"/>
    <w:link w:val="1548"/>
    <w:qFormat/>
    <w:pPr>
      <w:ind w:firstLine="480"/>
      <w:spacing w:line="480" w:lineRule="exact"/>
    </w:pPr>
    <w:rPr>
      <w:rFonts w:ascii="宋体" w:hAnsi="宋体"/>
      <w:sz w:val="24"/>
    </w:rPr>
  </w:style>
  <w:style w:type="character" w:styleId="1550">
    <w:name w:val="Char Char11"/>
    <w:next w:val="1550"/>
    <w:link w:val="1270"/>
    <w:qFormat/>
    <w:rPr>
      <w:rFonts w:ascii="宋体" w:eastAsia="宋体"/>
      <w:b/>
      <w:sz w:val="24"/>
      <w:u w:val="single"/>
      <w:lang w:val="en-US" w:eastAsia="zh-CN" w:bidi="ar-SA"/>
    </w:rPr>
  </w:style>
  <w:style w:type="character" w:styleId="1551">
    <w:name w:val="txt"/>
    <w:next w:val="1551"/>
    <w:link w:val="1270"/>
    <w:qFormat/>
  </w:style>
  <w:style w:type="character" w:styleId="1552">
    <w:name w:val="正文缩进 Char Char"/>
    <w:next w:val="1552"/>
    <w:link w:val="1553"/>
    <w:qFormat/>
    <w:rPr>
      <w:rFonts w:ascii="宋体" w:eastAsia="宋体"/>
      <w:color w:val="000000"/>
      <w:sz w:val="28"/>
      <w:lang w:bidi="ar-SA"/>
    </w:rPr>
  </w:style>
  <w:style w:type="paragraph" w:styleId="1553">
    <w:name w:val="正文缩进1"/>
    <w:basedOn w:val="1270"/>
    <w:next w:val="1553"/>
    <w:link w:val="1552"/>
    <w:qFormat/>
    <w:pPr>
      <w:ind w:firstLine="567"/>
      <w:spacing w:line="480" w:lineRule="exact"/>
      <w:widowControl/>
    </w:pPr>
    <w:rPr>
      <w:rFonts w:ascii="宋体"/>
      <w:color w:val="000000"/>
      <w:sz w:val="28"/>
      <w:szCs w:val="20"/>
    </w:rPr>
  </w:style>
  <w:style w:type="character" w:styleId="1554">
    <w:name w:val="普通文字1 Char1"/>
    <w:next w:val="1554"/>
    <w:link w:val="1270"/>
    <w:qFormat/>
    <w:rPr>
      <w:rFonts w:ascii="宋体" w:hAnsi="Courier New" w:eastAsia="宋体"/>
      <w:sz w:val="21"/>
      <w:lang w:val="en-US" w:eastAsia="zh-CN" w:bidi="ar-SA"/>
    </w:rPr>
  </w:style>
  <w:style w:type="character" w:styleId="1555">
    <w:name w:val="chanpin1"/>
    <w:next w:val="1555"/>
    <w:link w:val="1270"/>
    <w:qFormat/>
    <w:rPr>
      <w:rFonts w:ascii="ˎ̥" w:hAnsi="ˎ̥"/>
      <w:color w:val="000000"/>
      <w:sz w:val="20"/>
      <w:szCs w:val="20"/>
      <w:u w:val="none"/>
    </w:rPr>
  </w:style>
  <w:style w:type="character" w:styleId="1556">
    <w:name w:val="列表段落 字符"/>
    <w:next w:val="1556"/>
    <w:link w:val="1557"/>
    <w:uiPriority w:val="34"/>
    <w:qFormat/>
    <w:rPr>
      <w:rFonts w:ascii="Calibri" w:hAnsi="Calibri" w:eastAsia="宋体"/>
      <w:sz w:val="21"/>
      <w:szCs w:val="22"/>
      <w:lang w:val="en-US" w:eastAsia="zh-CN" w:bidi="ar-SA"/>
    </w:rPr>
  </w:style>
  <w:style w:type="paragraph" w:styleId="1557">
    <w:name w:val="列表段落"/>
    <w:basedOn w:val="1270"/>
    <w:next w:val="1557"/>
    <w:link w:val="1556"/>
    <w:uiPriority w:val="34"/>
    <w:qFormat/>
    <w:pPr>
      <w:ind w:firstLine="420"/>
    </w:pPr>
    <w:rPr>
      <w:rFonts w:ascii="Calibri" w:hAnsi="Calibri"/>
      <w:szCs w:val="22"/>
    </w:rPr>
  </w:style>
  <w:style w:type="character" w:styleId="1558">
    <w:name w:val="标题 3 Char Char"/>
    <w:next w:val="1558"/>
    <w:link w:val="1270"/>
    <w:qFormat/>
    <w:rPr>
      <w:rFonts w:eastAsia="宋体"/>
      <w:b/>
      <w:bCs/>
      <w:sz w:val="32"/>
      <w:szCs w:val="32"/>
      <w:lang w:val="en-US" w:eastAsia="zh-CN" w:bidi="ar-SA"/>
    </w:rPr>
  </w:style>
  <w:style w:type="character" w:styleId="1559">
    <w:name w:val="段1 Char"/>
    <w:next w:val="1559"/>
    <w:link w:val="1270"/>
    <w:qFormat/>
    <w:rPr>
      <w:rFonts w:ascii="宋体" w:eastAsia="宋体"/>
      <w:sz w:val="24"/>
      <w:lang w:val="en-US" w:eastAsia="zh-CN" w:bidi="ar-SA"/>
    </w:rPr>
  </w:style>
  <w:style w:type="character" w:styleId="1560">
    <w:name w:val="chanpin拷贝"/>
    <w:next w:val="1560"/>
    <w:link w:val="1270"/>
    <w:qFormat/>
  </w:style>
  <w:style w:type="character" w:styleId="1561">
    <w:name w:val="纯文本 Char1"/>
    <w:next w:val="1561"/>
    <w:link w:val="1270"/>
    <w:qFormat/>
    <w:rPr>
      <w:rFonts w:ascii="宋体" w:hAnsi="Courier New" w:eastAsia="宋体"/>
      <w:sz w:val="21"/>
      <w:lang w:val="en-US" w:eastAsia="zh-CN" w:bidi="ar-SA"/>
    </w:rPr>
  </w:style>
  <w:style w:type="character" w:styleId="1562">
    <w:name w:val="apple-style-span"/>
    <w:next w:val="1562"/>
    <w:link w:val="1270"/>
    <w:qFormat/>
    <w:rPr>
      <w:rFonts w:cs="Times New Roman"/>
    </w:rPr>
  </w:style>
  <w:style w:type="paragraph" w:styleId="1563">
    <w:name w:val="二级条标题"/>
    <w:basedOn w:val="1564"/>
    <w:next w:val="1270"/>
    <w:link w:val="1270"/>
    <w:qFormat/>
    <w:pPr>
      <w:numPr>
        <w:ilvl w:val="0"/>
        <w:numId w:val="0"/>
      </w:numPr>
      <w:ind w:hanging="840"/>
      <w:tabs>
        <w:tab w:val="left" w:pos="360" w:leader="none"/>
        <w:tab w:val="left" w:pos="840" w:leader="none"/>
      </w:tabs>
      <w:outlineLvl w:val="2"/>
    </w:pPr>
    <w:rPr>
      <w:rFonts w:ascii="宋体" w:eastAsia="宋体"/>
      <w:b w:val="0"/>
    </w:rPr>
  </w:style>
  <w:style w:type="paragraph" w:styleId="1564">
    <w:name w:val="一级条标题"/>
    <w:basedOn w:val="1565"/>
    <w:next w:val="1270"/>
    <w:link w:val="1270"/>
    <w:qFormat/>
    <w:pPr>
      <w:numPr>
        <w:ilvl w:val="1"/>
      </w:numPr>
      <w:ind w:left="0" w:hanging="840"/>
      <w:tabs>
        <w:tab w:val="left" w:pos="360" w:leader="none"/>
        <w:tab w:val="left" w:pos="840" w:leader="none"/>
      </w:tabs>
      <w:outlineLvl w:val="1"/>
    </w:pPr>
  </w:style>
  <w:style w:type="paragraph" w:styleId="1565">
    <w:name w:val="章标题"/>
    <w:next w:val="1270"/>
    <w:link w:val="12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566">
    <w:name w:val="font7"/>
    <w:basedOn w:val="1270"/>
    <w:next w:val="1566"/>
    <w:link w:val="1270"/>
    <w:qFormat/>
    <w:pPr>
      <w:jc w:val="left"/>
      <w:spacing w:before="100" w:beforeAutospacing="1" w:after="100" w:afterAutospacing="1"/>
      <w:widowControl/>
    </w:pPr>
    <w:rPr>
      <w:rFonts w:eastAsia="Arial Unicode MS"/>
      <w:b/>
      <w:bCs/>
      <w:color w:val="000000"/>
      <w:sz w:val="20"/>
      <w:szCs w:val="20"/>
    </w:rPr>
  </w:style>
  <w:style w:type="paragraph" w:styleId="1567">
    <w:name w:val="字元 字元"/>
    <w:basedOn w:val="1270"/>
    <w:next w:val="1567"/>
    <w:link w:val="1270"/>
    <w:qFormat/>
    <w:rPr>
      <w:rFonts w:ascii="Tahoma" w:hAnsi="Tahoma"/>
      <w:sz w:val="24"/>
      <w:szCs w:val="20"/>
    </w:rPr>
  </w:style>
  <w:style w:type="paragraph" w:styleId="1568">
    <w:name w:val="Char3 Char Char Char"/>
    <w:basedOn w:val="1270"/>
    <w:next w:val="1568"/>
    <w:link w:val="1270"/>
    <w:qFormat/>
    <w:rPr>
      <w:rFonts w:ascii="Tahoma" w:hAnsi="Tahoma"/>
      <w:sz w:val="24"/>
      <w:szCs w:val="20"/>
    </w:rPr>
  </w:style>
  <w:style w:type="paragraph" w:styleId="1569">
    <w:name w:val="font6"/>
    <w:basedOn w:val="1270"/>
    <w:next w:val="1569"/>
    <w:link w:val="1270"/>
    <w:qFormat/>
    <w:pPr>
      <w:jc w:val="left"/>
      <w:spacing w:before="100" w:beforeAutospacing="1" w:after="100" w:afterAutospacing="1"/>
      <w:widowControl/>
    </w:pPr>
    <w:rPr>
      <w:rFonts w:ascii="宋体" w:hAnsi="宋体" w:cs="宋体"/>
      <w:sz w:val="20"/>
      <w:szCs w:val="20"/>
    </w:rPr>
  </w:style>
  <w:style w:type="paragraph" w:styleId="1570">
    <w:name w:val="项目编号2"/>
    <w:basedOn w:val="1571"/>
    <w:next w:val="1570"/>
    <w:link w:val="1270"/>
    <w:qFormat/>
    <w:pPr>
      <w:numPr>
        <w:numId w:val="3"/>
      </w:numPr>
    </w:pPr>
  </w:style>
  <w:style w:type="paragraph" w:styleId="1571">
    <w:name w:val="项目编号1"/>
    <w:basedOn w:val="1270"/>
    <w:next w:val="1571"/>
    <w:link w:val="1270"/>
    <w:qFormat/>
    <w:pPr>
      <w:numPr>
        <w:ilvl w:val="0"/>
        <w:numId w:val="2"/>
      </w:numPr>
      <w:spacing w:before="100" w:beforeAutospacing="1" w:after="100" w:afterAutospacing="1" w:line="360" w:lineRule="auto"/>
    </w:pPr>
    <w:rPr>
      <w:sz w:val="24"/>
    </w:rPr>
  </w:style>
  <w:style w:type="paragraph" w:styleId="1572">
    <w:name w:val="图中文字"/>
    <w:basedOn w:val="1270"/>
    <w:next w:val="1572"/>
    <w:link w:val="1270"/>
    <w:qFormat/>
    <w:pPr>
      <w:jc w:val="center"/>
      <w:spacing w:line="0" w:lineRule="atLeast"/>
    </w:pPr>
    <w:rPr>
      <w:sz w:val="24"/>
      <w:szCs w:val="20"/>
    </w:rPr>
  </w:style>
  <w:style w:type="paragraph" w:styleId="1573">
    <w:name w:val="xl46"/>
    <w:basedOn w:val="1270"/>
    <w:next w:val="1573"/>
    <w:link w:val="12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574">
    <w:name w:val="Char2"/>
    <w:basedOn w:val="1270"/>
    <w:next w:val="1574"/>
    <w:link w:val="1270"/>
    <w:qFormat/>
    <w:rPr>
      <w:rFonts w:ascii="Tahoma" w:hAnsi="Tahoma"/>
      <w:sz w:val="24"/>
      <w:szCs w:val="20"/>
    </w:rPr>
  </w:style>
  <w:style w:type="paragraph" w:styleId="1575">
    <w:name w:val="xl35"/>
    <w:basedOn w:val="1270"/>
    <w:next w:val="1575"/>
    <w:link w:val="12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576">
    <w:name w:val="xl40"/>
    <w:basedOn w:val="1270"/>
    <w:next w:val="1576"/>
    <w:link w:val="12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77">
    <w:name w:val="xl52"/>
    <w:basedOn w:val="1270"/>
    <w:next w:val="1577"/>
    <w:link w:val="12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578">
    <w:name w:val="xl43"/>
    <w:basedOn w:val="1270"/>
    <w:next w:val="1578"/>
    <w:link w:val="12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579">
    <w:name w:val="background1"/>
    <w:basedOn w:val="1270"/>
    <w:next w:val="1579"/>
    <w:link w:val="1270"/>
    <w:qFormat/>
    <w:pPr>
      <w:jc w:val="left"/>
      <w:spacing w:before="100" w:beforeAutospacing="1" w:after="100" w:afterAutospacing="1"/>
      <w:widowControl/>
    </w:pPr>
    <w:rPr>
      <w:rFonts w:ascii="宋体" w:hAnsi="宋体" w:cs="宋体"/>
      <w:sz w:val="24"/>
    </w:rPr>
  </w:style>
  <w:style w:type="paragraph" w:styleId="1580">
    <w:name w:val="Char Char Char Char Char Char Char"/>
    <w:basedOn w:val="1270"/>
    <w:next w:val="1580"/>
    <w:link w:val="1270"/>
    <w:qFormat/>
    <w:pPr>
      <w:ind w:firstLine="200"/>
      <w:spacing w:line="360" w:lineRule="auto"/>
    </w:pPr>
    <w:rPr>
      <w:rFonts w:eastAsia="仿宋_GB2312"/>
      <w:sz w:val="24"/>
    </w:rPr>
  </w:style>
  <w:style w:type="paragraph" w:styleId="1581">
    <w:name w:val="xl38"/>
    <w:basedOn w:val="1270"/>
    <w:next w:val="1581"/>
    <w:link w:val="12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582">
    <w:name w:val="xl36"/>
    <w:basedOn w:val="1270"/>
    <w:next w:val="1582"/>
    <w:link w:val="12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583">
    <w:name w:val="正文 + 宋体"/>
    <w:basedOn w:val="1270"/>
    <w:next w:val="1583"/>
    <w:link w:val="1270"/>
    <w:qFormat/>
    <w:pPr>
      <w:ind w:left="360" w:hanging="360"/>
      <w:jc w:val="left"/>
      <w:widowControl/>
    </w:pPr>
    <w:rPr>
      <w:rFonts w:ascii="宋体" w:hAnsi="宋体" w:cs="宋体"/>
      <w:b/>
      <w:bCs/>
      <w:color w:val="000000"/>
      <w:sz w:val="18"/>
      <w:szCs w:val="18"/>
    </w:rPr>
  </w:style>
  <w:style w:type="paragraph" w:styleId="1584">
    <w:name w:val="正文列项_数字"/>
    <w:basedOn w:val="1270"/>
    <w:next w:val="1584"/>
    <w:link w:val="1270"/>
    <w:qFormat/>
    <w:pPr>
      <w:numPr>
        <w:ilvl w:val="7"/>
        <w:numId w:val="1"/>
      </w:numPr>
      <w:ind w:left="680" w:hanging="150"/>
      <w:spacing w:line="460" w:lineRule="exact"/>
      <w:tabs>
        <w:tab w:val="clear" w:pos="860" w:leader="none"/>
      </w:tabs>
      <w:outlineLvl w:val="7"/>
    </w:pPr>
    <w:rPr>
      <w:rFonts w:ascii="宋体"/>
      <w:sz w:val="28"/>
      <w:szCs w:val="20"/>
    </w:rPr>
  </w:style>
  <w:style w:type="paragraph" w:styleId="1585">
    <w:name w:val="xl39"/>
    <w:basedOn w:val="1270"/>
    <w:next w:val="1585"/>
    <w:link w:val="12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86">
    <w:name w:val="xl37"/>
    <w:basedOn w:val="1270"/>
    <w:next w:val="1586"/>
    <w:link w:val="12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587">
    <w:name w:val="xl32"/>
    <w:basedOn w:val="1270"/>
    <w:next w:val="1587"/>
    <w:link w:val="12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88">
    <w:name w:val="font8"/>
    <w:basedOn w:val="1270"/>
    <w:next w:val="1588"/>
    <w:link w:val="1270"/>
    <w:qFormat/>
    <w:pPr>
      <w:jc w:val="left"/>
      <w:spacing w:before="100" w:beforeAutospacing="1" w:after="100" w:afterAutospacing="1"/>
      <w:widowControl/>
    </w:pPr>
    <w:rPr>
      <w:sz w:val="36"/>
      <w:szCs w:val="36"/>
    </w:rPr>
  </w:style>
  <w:style w:type="paragraph" w:styleId="1589">
    <w:name w:val="Char"/>
    <w:basedOn w:val="1270"/>
    <w:next w:val="1589"/>
    <w:link w:val="1270"/>
    <w:qFormat/>
    <w:pPr>
      <w:tabs>
        <w:tab w:val="left" w:pos="360" w:leader="none"/>
      </w:tabs>
    </w:pPr>
    <w:rPr>
      <w:sz w:val="24"/>
    </w:rPr>
  </w:style>
  <w:style w:type="paragraph" w:styleId="1590">
    <w:name w:val="Char Char Char Char Char Char Char Char Char Char Char Char Char Char Char Char"/>
    <w:basedOn w:val="1270"/>
    <w:next w:val="1590"/>
    <w:link w:val="1270"/>
    <w:qFormat/>
    <w:pPr>
      <w:jc w:val="center"/>
      <w:spacing w:after="160" w:line="240" w:lineRule="exact"/>
      <w:widowControl/>
    </w:pPr>
    <w:rPr>
      <w:rFonts w:ascii="宋体" w:hAnsi="宋体"/>
      <w:b/>
      <w:sz w:val="30"/>
      <w:szCs w:val="30"/>
      <w:lang w:eastAsia="en-US"/>
    </w:rPr>
  </w:style>
  <w:style w:type="paragraph" w:styleId="1591">
    <w:name w:val="xl45"/>
    <w:basedOn w:val="1270"/>
    <w:next w:val="1591"/>
    <w:link w:val="12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592">
    <w:name w:val="Char Char1 Char Char Char Char Char Char"/>
    <w:basedOn w:val="1270"/>
    <w:next w:val="1592"/>
    <w:link w:val="1270"/>
    <w:qFormat/>
    <w:pPr>
      <w:jc w:val="left"/>
      <w:spacing w:after="160" w:line="240" w:lineRule="exact"/>
      <w:widowControl/>
    </w:pPr>
    <w:rPr>
      <w:rFonts w:ascii="Verdana" w:hAnsi="Verdana" w:eastAsia="仿宋_GB2312"/>
      <w:sz w:val="24"/>
      <w:szCs w:val="20"/>
      <w:lang w:eastAsia="en-US"/>
    </w:rPr>
  </w:style>
  <w:style w:type="paragraph" w:styleId="1593">
    <w:name w:val="Char Char1"/>
    <w:basedOn w:val="1485"/>
    <w:next w:val="1593"/>
    <w:link w:val="1270"/>
    <w:qFormat/>
    <w:rPr>
      <w:rFonts w:ascii="Tahoma" w:hAnsi="Tahoma"/>
      <w:sz w:val="24"/>
    </w:rPr>
  </w:style>
  <w:style w:type="paragraph" w:styleId="1594">
    <w:name w:val="xl26"/>
    <w:basedOn w:val="1270"/>
    <w:next w:val="1594"/>
    <w:link w:val="12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595">
    <w:name w:val="xl30"/>
    <w:basedOn w:val="1270"/>
    <w:next w:val="1595"/>
    <w:link w:val="12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96">
    <w:name w:val="xl41"/>
    <w:basedOn w:val="1270"/>
    <w:next w:val="1596"/>
    <w:link w:val="12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597">
    <w:name w:val="样式 宋体 五号 行距: 单倍行距"/>
    <w:basedOn w:val="1270"/>
    <w:next w:val="1597"/>
    <w:link w:val="1270"/>
    <w:qFormat/>
    <w:pPr>
      <w:jc w:val="left"/>
    </w:pPr>
    <w:rPr>
      <w:rFonts w:ascii="宋体" w:hAnsi="宋体"/>
      <w:szCs w:val="20"/>
    </w:rPr>
  </w:style>
  <w:style w:type="paragraph" w:styleId="1598">
    <w:name w:val="Char1 Char Char Char1"/>
    <w:basedOn w:val="1270"/>
    <w:next w:val="1598"/>
    <w:link w:val="1270"/>
    <w:qFormat/>
    <w:rPr>
      <w:rFonts w:ascii="Tahoma" w:hAnsi="Tahoma" w:cs="仿宋_GB2312"/>
      <w:sz w:val="24"/>
      <w:szCs w:val="28"/>
    </w:rPr>
  </w:style>
  <w:style w:type="paragraph" w:styleId="1599">
    <w:name w:val="四级条标题"/>
    <w:basedOn w:val="1600"/>
    <w:next w:val="1270"/>
    <w:link w:val="1270"/>
    <w:qFormat/>
    <w:pPr>
      <w:numPr>
        <w:ilvl w:val="4"/>
      </w:numPr>
      <w:ind w:left="0" w:hanging="840"/>
      <w:tabs>
        <w:tab w:val="left" w:pos="360" w:leader="none"/>
        <w:tab w:val="left" w:pos="840" w:leader="none"/>
      </w:tabs>
      <w:outlineLvl w:val="4"/>
    </w:pPr>
  </w:style>
  <w:style w:type="paragraph" w:styleId="1600">
    <w:name w:val="三级条标题"/>
    <w:basedOn w:val="1563"/>
    <w:next w:val="1270"/>
    <w:link w:val="1270"/>
    <w:qFormat/>
    <w:pPr>
      <w:numPr>
        <w:ilvl w:val="3"/>
        <w:numId w:val="1"/>
      </w:numPr>
      <w:ind w:left="0" w:hanging="840"/>
      <w:tabs>
        <w:tab w:val="left" w:pos="360" w:leader="none"/>
        <w:tab w:val="left" w:pos="840" w:leader="none"/>
      </w:tabs>
      <w:outlineLvl w:val="3"/>
    </w:pPr>
  </w:style>
  <w:style w:type="paragraph" w:styleId="1601">
    <w:name w:val="??"/>
    <w:next w:val="1601"/>
    <w:link w:val="1270"/>
    <w:qFormat/>
    <w:pPr>
      <w:jc w:val="both"/>
      <w:widowControl w:val="off"/>
    </w:pPr>
    <w:rPr>
      <w:sz w:val="21"/>
      <w:lang w:val="en-US" w:eastAsia="zh-CN" w:bidi="ar-SA"/>
    </w:rPr>
  </w:style>
  <w:style w:type="paragraph" w:styleId="1602">
    <w:name w:val="样式 标题 2 + 宋体 五号 行距: 单倍行距"/>
    <w:basedOn w:val="1469"/>
    <w:next w:val="1602"/>
    <w:link w:val="12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603">
    <w:name w:val="List Paragraph1"/>
    <w:basedOn w:val="1270"/>
    <w:next w:val="1603"/>
    <w:link w:val="1270"/>
    <w:qFormat/>
    <w:pPr>
      <w:ind w:firstLine="420"/>
    </w:pPr>
    <w:rPr>
      <w:rFonts w:ascii="Calibri" w:hAnsi="Calibri"/>
      <w:szCs w:val="22"/>
    </w:rPr>
  </w:style>
  <w:style w:type="paragraph" w:styleId="1604">
    <w:name w:val="项目符号1"/>
    <w:basedOn w:val="1605"/>
    <w:next w:val="1604"/>
    <w:link w:val="1270"/>
    <w:qFormat/>
    <w:pPr>
      <w:ind w:left="-25" w:firstLine="0"/>
    </w:pPr>
  </w:style>
  <w:style w:type="paragraph" w:styleId="1605">
    <w:name w:val="正文文本样式"/>
    <w:basedOn w:val="1270"/>
    <w:next w:val="1605"/>
    <w:link w:val="1270"/>
    <w:qFormat/>
    <w:pPr>
      <w:ind w:firstLine="482"/>
      <w:spacing w:line="360" w:lineRule="auto"/>
    </w:pPr>
    <w:rPr>
      <w:rFonts w:cs="宋体"/>
      <w:sz w:val="24"/>
      <w:szCs w:val="20"/>
    </w:rPr>
  </w:style>
  <w:style w:type="paragraph" w:styleId="1606">
    <w:name w:val="xl27"/>
    <w:basedOn w:val="1270"/>
    <w:next w:val="1606"/>
    <w:link w:val="12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07">
    <w:name w:val="font5"/>
    <w:basedOn w:val="1270"/>
    <w:next w:val="1607"/>
    <w:link w:val="1270"/>
    <w:qFormat/>
    <w:pPr>
      <w:jc w:val="left"/>
      <w:spacing w:before="100" w:beforeAutospacing="1" w:after="100" w:afterAutospacing="1"/>
      <w:widowControl/>
    </w:pPr>
    <w:rPr>
      <w:rFonts w:ascii="宋体" w:hAnsi="宋体" w:cs="宋体"/>
      <w:sz w:val="18"/>
      <w:szCs w:val="18"/>
    </w:rPr>
  </w:style>
  <w:style w:type="paragraph" w:styleId="1608">
    <w:name w:val="五级条标题"/>
    <w:basedOn w:val="1599"/>
    <w:next w:val="1270"/>
    <w:link w:val="1270"/>
    <w:qFormat/>
    <w:pPr>
      <w:numPr>
        <w:ilvl w:val="5"/>
      </w:numPr>
      <w:ind w:left="0" w:hanging="840"/>
      <w:tabs>
        <w:tab w:val="left" w:pos="360" w:leader="none"/>
        <w:tab w:val="left" w:pos="840" w:leader="none"/>
      </w:tabs>
      <w:outlineLvl w:val="5"/>
    </w:pPr>
  </w:style>
  <w:style w:type="paragraph" w:styleId="1609">
    <w:name w:val="xl49"/>
    <w:basedOn w:val="1270"/>
    <w:next w:val="1609"/>
    <w:link w:val="12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610">
    <w:name w:val="文档正文"/>
    <w:basedOn w:val="1270"/>
    <w:next w:val="1610"/>
    <w:link w:val="1270"/>
    <w:qFormat/>
    <w:pPr>
      <w:spacing w:before="120" w:after="120" w:line="180" w:lineRule="auto"/>
    </w:pPr>
    <w:rPr>
      <w:rFonts w:ascii="Arial" w:hAnsi="Arial"/>
      <w:szCs w:val="20"/>
    </w:rPr>
  </w:style>
  <w:style w:type="paragraph" w:styleId="1611">
    <w:name w:val="xl33"/>
    <w:basedOn w:val="1270"/>
    <w:next w:val="1611"/>
    <w:link w:val="12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12">
    <w:name w:val="xl42"/>
    <w:basedOn w:val="1270"/>
    <w:next w:val="1612"/>
    <w:link w:val="12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613">
    <w:name w:val="Char Char Char1 Char"/>
    <w:basedOn w:val="1270"/>
    <w:next w:val="1613"/>
    <w:link w:val="1270"/>
    <w:qFormat/>
    <w:rPr>
      <w:rFonts w:ascii="Tahoma" w:hAnsi="Tahoma"/>
      <w:sz w:val="24"/>
      <w:szCs w:val="20"/>
    </w:rPr>
  </w:style>
  <w:style w:type="paragraph" w:styleId="1614">
    <w:name w:val="xl44"/>
    <w:basedOn w:val="1270"/>
    <w:next w:val="1614"/>
    <w:link w:val="12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615">
    <w:name w:val="1名"/>
    <w:basedOn w:val="1270"/>
    <w:next w:val="1615"/>
    <w:link w:val="1270"/>
    <w:qFormat/>
    <w:pPr>
      <w:numPr>
        <w:ilvl w:val="0"/>
        <w:numId w:val="5"/>
      </w:numPr>
      <w:spacing w:before="120"/>
      <w:tabs>
        <w:tab w:val="left" w:pos="360" w:leader="none"/>
      </w:tabs>
    </w:pPr>
    <w:rPr>
      <w:rFonts w:ascii="宋体"/>
      <w:sz w:val="28"/>
      <w:szCs w:val="20"/>
    </w:rPr>
  </w:style>
  <w:style w:type="paragraph" w:styleId="1616">
    <w:name w:val="font9"/>
    <w:basedOn w:val="1270"/>
    <w:next w:val="1616"/>
    <w:link w:val="1270"/>
    <w:qFormat/>
    <w:pPr>
      <w:jc w:val="left"/>
      <w:spacing w:before="100" w:beforeAutospacing="1" w:after="100" w:afterAutospacing="1"/>
      <w:widowControl/>
    </w:pPr>
    <w:rPr>
      <w:rFonts w:hint="eastAsia" w:ascii="宋体" w:hAnsi="宋体" w:cs="Arial Unicode MS"/>
      <w:color w:val="000000"/>
      <w:sz w:val="20"/>
      <w:szCs w:val="20"/>
    </w:rPr>
  </w:style>
  <w:style w:type="paragraph" w:styleId="1617">
    <w:name w:val="Char Char Char1 Char1"/>
    <w:basedOn w:val="1270"/>
    <w:next w:val="1617"/>
    <w:link w:val="1270"/>
    <w:qFormat/>
    <w:rPr>
      <w:rFonts w:ascii="Tahoma" w:hAnsi="Tahoma"/>
      <w:sz w:val="24"/>
      <w:szCs w:val="20"/>
    </w:rPr>
  </w:style>
  <w:style w:type="paragraph" w:styleId="1618">
    <w:name w:val="Char Char Char Char Char Char Char Char Char Char"/>
    <w:basedOn w:val="1270"/>
    <w:next w:val="1618"/>
    <w:link w:val="1270"/>
    <w:qFormat/>
  </w:style>
  <w:style w:type="paragraph" w:styleId="1619">
    <w:name w:val="Char Char1 Char Char Char Char Char Char Char Char"/>
    <w:basedOn w:val="1270"/>
    <w:next w:val="1619"/>
    <w:link w:val="1270"/>
    <w:qFormat/>
    <w:pPr>
      <w:jc w:val="left"/>
      <w:spacing w:after="160" w:line="240" w:lineRule="exact"/>
      <w:widowControl/>
    </w:pPr>
    <w:rPr>
      <w:rFonts w:ascii="Verdana" w:hAnsi="Verdana"/>
      <w:sz w:val="20"/>
      <w:szCs w:val="20"/>
      <w:lang w:eastAsia="en-US"/>
    </w:rPr>
  </w:style>
  <w:style w:type="paragraph" w:styleId="1620">
    <w:name w:val="Char1"/>
    <w:basedOn w:val="1270"/>
    <w:next w:val="1620"/>
    <w:link w:val="1270"/>
    <w:qFormat/>
    <w:pPr>
      <w:tabs>
        <w:tab w:val="left" w:pos="360" w:leader="none"/>
      </w:tabs>
    </w:pPr>
    <w:rPr>
      <w:sz w:val="24"/>
    </w:rPr>
  </w:style>
  <w:style w:type="paragraph" w:styleId="1621">
    <w:name w:val="正文列项_字母"/>
    <w:basedOn w:val="1270"/>
    <w:next w:val="1621"/>
    <w:link w:val="1270"/>
    <w:qFormat/>
    <w:pPr>
      <w:numPr>
        <w:ilvl w:val="6"/>
        <w:numId w:val="1"/>
      </w:numPr>
      <w:ind w:left="480" w:hanging="180"/>
      <w:spacing w:line="460" w:lineRule="exact"/>
      <w:tabs>
        <w:tab w:val="clear" w:pos="635" w:leader="none"/>
      </w:tabs>
      <w:outlineLvl w:val="6"/>
    </w:pPr>
    <w:rPr>
      <w:rFonts w:ascii="宋体"/>
      <w:sz w:val="28"/>
      <w:szCs w:val="20"/>
    </w:rPr>
  </w:style>
  <w:style w:type="paragraph" w:styleId="1622">
    <w:name w:val="xl28"/>
    <w:basedOn w:val="1270"/>
    <w:next w:val="1622"/>
    <w:link w:val="12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23">
    <w:name w:val="xl47"/>
    <w:basedOn w:val="1270"/>
    <w:next w:val="1623"/>
    <w:link w:val="12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624">
    <w:name w:val="默认段落字体 Para Char Char Char Char"/>
    <w:basedOn w:val="1270"/>
    <w:next w:val="1624"/>
    <w:link w:val="1270"/>
    <w:qFormat/>
    <w:rPr>
      <w:rFonts w:ascii="Arial" w:hAnsi="Arial" w:cs="Arial"/>
      <w:szCs w:val="21"/>
    </w:rPr>
  </w:style>
  <w:style w:type="paragraph" w:styleId="1625">
    <w:name w:val="xl48"/>
    <w:basedOn w:val="1270"/>
    <w:next w:val="1625"/>
    <w:link w:val="12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626">
    <w:name w:val="xl31"/>
    <w:basedOn w:val="1270"/>
    <w:next w:val="1626"/>
    <w:link w:val="12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27">
    <w:name w:val="xl53"/>
    <w:basedOn w:val="1270"/>
    <w:next w:val="1627"/>
    <w:link w:val="12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628">
    <w:name w:val="Char Char Char"/>
    <w:basedOn w:val="1270"/>
    <w:next w:val="1628"/>
    <w:link w:val="1270"/>
    <w:qFormat/>
    <w:rPr>
      <w:rFonts w:ascii="Tahoma" w:hAnsi="Tahoma"/>
      <w:sz w:val="24"/>
      <w:szCs w:val="20"/>
    </w:rPr>
  </w:style>
  <w:style w:type="paragraph" w:styleId="1629">
    <w:name w:val="xl50"/>
    <w:basedOn w:val="1270"/>
    <w:next w:val="1629"/>
    <w:link w:val="12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630">
    <w:name w:val="缺省文本"/>
    <w:basedOn w:val="1270"/>
    <w:next w:val="1630"/>
    <w:link w:val="1270"/>
    <w:qFormat/>
    <w:pPr>
      <w:jc w:val="left"/>
    </w:pPr>
    <w:rPr>
      <w:sz w:val="24"/>
    </w:rPr>
  </w:style>
  <w:style w:type="paragraph" w:styleId="1631">
    <w:name w:val="Char Char Char1"/>
    <w:basedOn w:val="1270"/>
    <w:next w:val="1631"/>
    <w:link w:val="1270"/>
    <w:qFormat/>
    <w:rPr>
      <w:rFonts w:ascii="Tahoma" w:hAnsi="Tahoma"/>
      <w:sz w:val="24"/>
      <w:szCs w:val="20"/>
    </w:rPr>
  </w:style>
  <w:style w:type="paragraph" w:styleId="1632">
    <w:name w:val="Char Char Char Char Char Char Char1"/>
    <w:basedOn w:val="1270"/>
    <w:next w:val="1632"/>
    <w:link w:val="1270"/>
    <w:qFormat/>
    <w:pPr>
      <w:ind w:firstLine="200"/>
      <w:spacing w:line="360" w:lineRule="auto"/>
    </w:pPr>
    <w:rPr>
      <w:rFonts w:eastAsia="仿宋_GB2312"/>
      <w:sz w:val="24"/>
    </w:rPr>
  </w:style>
  <w:style w:type="paragraph" w:styleId="1633">
    <w:name w:val="xl51"/>
    <w:basedOn w:val="1270"/>
    <w:next w:val="1633"/>
    <w:link w:val="12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634">
    <w:name w:val="样式2"/>
    <w:basedOn w:val="1523"/>
    <w:next w:val="1634"/>
    <w:link w:val="1270"/>
    <w:qFormat/>
    <w:pPr>
      <w:jc w:val="center"/>
      <w:spacing w:line="360" w:lineRule="auto"/>
    </w:pPr>
    <w:rPr>
      <w:sz w:val="24"/>
    </w:rPr>
  </w:style>
  <w:style w:type="paragraph" w:styleId="1635">
    <w:name w:val="xl24"/>
    <w:basedOn w:val="1270"/>
    <w:next w:val="1635"/>
    <w:link w:val="12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636">
    <w:name w:val="xl29"/>
    <w:basedOn w:val="1270"/>
    <w:next w:val="1636"/>
    <w:link w:val="12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37">
    <w:name w:val="正文 + 楷体_GB2312"/>
    <w:basedOn w:val="1270"/>
    <w:next w:val="1637"/>
    <w:link w:val="1270"/>
    <w:qFormat/>
    <w:pPr>
      <w:jc w:val="left"/>
      <w:widowControl/>
    </w:pPr>
    <w:rPr>
      <w:rFonts w:ascii="楷体_GB2312" w:eastAsia="楷体_GB2312" w:cs="Arial"/>
      <w:sz w:val="24"/>
    </w:rPr>
  </w:style>
  <w:style w:type="paragraph" w:styleId="1638">
    <w:name w:val="xl34"/>
    <w:basedOn w:val="1270"/>
    <w:next w:val="1638"/>
    <w:link w:val="12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639">
    <w:name w:val="1 Char Char Char Char"/>
    <w:basedOn w:val="1270"/>
    <w:next w:val="1639"/>
    <w:link w:val="1270"/>
    <w:qFormat/>
    <w:rPr>
      <w:rFonts w:ascii="Tahoma" w:hAnsi="Tahoma"/>
      <w:sz w:val="24"/>
      <w:szCs w:val="20"/>
    </w:rPr>
  </w:style>
  <w:style w:type="paragraph" w:styleId="1640">
    <w:name w:val="Default"/>
    <w:next w:val="1640"/>
    <w:link w:val="1270"/>
    <w:qFormat/>
    <w:pPr>
      <w:widowControl w:val="off"/>
    </w:pPr>
    <w:rPr>
      <w:rFonts w:ascii="Symbol" w:hAnsi="Symbol" w:cs="Symbol"/>
      <w:color w:val="000000"/>
      <w:sz w:val="24"/>
      <w:szCs w:val="24"/>
      <w:lang w:val="en-US" w:eastAsia="zh-CN" w:bidi="ar-SA"/>
    </w:rPr>
  </w:style>
  <w:style w:type="paragraph" w:styleId="1641">
    <w:name w:val="列出段落1"/>
    <w:basedOn w:val="1270"/>
    <w:next w:val="1641"/>
    <w:link w:val="1270"/>
    <w:qFormat/>
    <w:pPr>
      <w:ind w:firstLine="420"/>
    </w:pPr>
    <w:rPr>
      <w:rFonts w:ascii="Calibri" w:hAnsi="Calibri"/>
      <w:szCs w:val="22"/>
    </w:rPr>
  </w:style>
  <w:style w:type="paragraph" w:styleId="1642">
    <w:name w:val="default"/>
    <w:basedOn w:val="1270"/>
    <w:next w:val="1642"/>
    <w:link w:val="1270"/>
    <w:qFormat/>
    <w:pPr>
      <w:jc w:val="left"/>
      <w:spacing w:before="100" w:beforeAutospacing="1" w:after="100" w:afterAutospacing="1"/>
      <w:widowControl/>
    </w:pPr>
    <w:rPr>
      <w:rFonts w:ascii="宋体" w:hAnsi="宋体" w:cs="宋体"/>
      <w:sz w:val="24"/>
    </w:rPr>
  </w:style>
  <w:style w:type="paragraph" w:styleId="1643">
    <w:name w:val="字元 字元1"/>
    <w:basedOn w:val="1270"/>
    <w:next w:val="1643"/>
    <w:link w:val="1270"/>
    <w:qFormat/>
    <w:rPr>
      <w:rFonts w:ascii="Tahoma" w:hAnsi="Tahoma"/>
      <w:sz w:val="24"/>
      <w:szCs w:val="20"/>
    </w:rPr>
  </w:style>
  <w:style w:type="paragraph" w:styleId="1644">
    <w:name w:val="_Style 160"/>
    <w:next w:val="1644"/>
    <w:link w:val="1270"/>
    <w:qFormat/>
    <w:rPr>
      <w:sz w:val="21"/>
      <w:szCs w:val="24"/>
      <w:lang w:val="en-US" w:eastAsia="zh-CN" w:bidi="ar-SA"/>
    </w:rPr>
  </w:style>
  <w:style w:type="paragraph" w:styleId="1645">
    <w:name w:val="项目编号3"/>
    <w:basedOn w:val="1605"/>
    <w:next w:val="1645"/>
    <w:link w:val="1270"/>
    <w:qFormat/>
    <w:pPr>
      <w:numPr>
        <w:ilvl w:val="0"/>
        <w:numId w:val="6"/>
      </w:numPr>
    </w:pPr>
  </w:style>
  <w:style w:type="paragraph" w:styleId="1646">
    <w:name w:val="Char21"/>
    <w:basedOn w:val="1270"/>
    <w:next w:val="1646"/>
    <w:link w:val="1270"/>
    <w:qFormat/>
    <w:rPr>
      <w:rFonts w:ascii="Tahoma" w:hAnsi="Tahoma"/>
      <w:sz w:val="24"/>
      <w:szCs w:val="20"/>
    </w:rPr>
  </w:style>
  <w:style w:type="paragraph" w:styleId="1647">
    <w:name w:val="表格文字"/>
    <w:basedOn w:val="1493"/>
    <w:next w:val="1647"/>
    <w:link w:val="1270"/>
    <w:qFormat/>
    <w:pPr>
      <w:ind w:firstLine="0"/>
      <w:spacing w:before="20" w:after="20" w:line="240" w:lineRule="auto"/>
    </w:pPr>
    <w:rPr>
      <w:rFonts w:ascii="Century Gothic" w:hAnsi="Century Gothic"/>
      <w:sz w:val="20"/>
      <w:szCs w:val="20"/>
    </w:rPr>
  </w:style>
  <w:style w:type="paragraph" w:styleId="1648">
    <w:name w:val="Char Char Char Char Char Char Char Char Char Char1"/>
    <w:basedOn w:val="1270"/>
    <w:next w:val="1648"/>
    <w:link w:val="1270"/>
    <w:qFormat/>
    <w:rPr>
      <w:rFonts w:ascii="宋体" w:hAnsi="宋体" w:cs="Courier New"/>
      <w:sz w:val="32"/>
      <w:szCs w:val="32"/>
    </w:rPr>
  </w:style>
  <w:style w:type="paragraph" w:styleId="1649">
    <w:name w:val="正文文本样式 加粗"/>
    <w:basedOn w:val="1605"/>
    <w:next w:val="1649"/>
    <w:link w:val="1270"/>
    <w:qFormat/>
    <w:rPr>
      <w:b/>
    </w:rPr>
  </w:style>
  <w:style w:type="paragraph" w:styleId="1650">
    <w:name w:val="Char2 Char Char Char Char Char Char"/>
    <w:basedOn w:val="1270"/>
    <w:next w:val="1650"/>
    <w:link w:val="1270"/>
    <w:qFormat/>
    <w:pPr>
      <w:jc w:val="center"/>
      <w:spacing w:line="400" w:lineRule="exact"/>
      <w:widowControl/>
    </w:pPr>
  </w:style>
  <w:style w:type="paragraph" w:styleId="1651">
    <w:name w:val="Char Char4"/>
    <w:basedOn w:val="1270"/>
    <w:next w:val="1651"/>
    <w:link w:val="1270"/>
    <w:qFormat/>
    <w:pPr>
      <w:jc w:val="center"/>
      <w:spacing w:line="400" w:lineRule="exact"/>
      <w:widowControl/>
    </w:pPr>
  </w:style>
  <w:style w:type="paragraph" w:styleId="1652">
    <w:name w:val="Char3 Char Char Char1"/>
    <w:basedOn w:val="1270"/>
    <w:next w:val="1652"/>
    <w:link w:val="1270"/>
    <w:qFormat/>
    <w:rPr>
      <w:rFonts w:ascii="Tahoma" w:hAnsi="Tahoma"/>
      <w:sz w:val="24"/>
      <w:szCs w:val="20"/>
    </w:rPr>
  </w:style>
  <w:style w:type="paragraph" w:styleId="1653">
    <w:name w:val="无间隔"/>
    <w:next w:val="1653"/>
    <w:link w:val="1270"/>
    <w:qFormat/>
    <w:pPr>
      <w:jc w:val="both"/>
      <w:widowControl w:val="off"/>
    </w:pPr>
    <w:rPr>
      <w:sz w:val="21"/>
      <w:szCs w:val="24"/>
      <w:lang w:val="en-US" w:eastAsia="zh-CN" w:bidi="ar-SA"/>
    </w:rPr>
  </w:style>
  <w:style w:type="paragraph" w:styleId="1654">
    <w:name w:val="22222222222222"/>
    <w:basedOn w:val="1270"/>
    <w:next w:val="1654"/>
    <w:link w:val="1270"/>
    <w:qFormat/>
    <w:pPr>
      <w:ind w:firstLine="480"/>
      <w:jc w:val="left"/>
      <w:spacing w:line="360" w:lineRule="auto"/>
      <w:widowControl/>
    </w:pPr>
    <w:rPr>
      <w:color w:val="ff0000"/>
      <w:sz w:val="24"/>
      <w:szCs w:val="20"/>
    </w:rPr>
  </w:style>
  <w:style w:type="character" w:styleId="1655">
    <w:name w:val="中等深浅网格 1 - 强调文字颜色 2 Char"/>
    <w:next w:val="1655"/>
    <w:link w:val="1656"/>
    <w:qFormat/>
    <w:rPr>
      <w:sz w:val="21"/>
      <w:szCs w:val="24"/>
      <w:lang w:val="zh-CN" w:eastAsia="zh-CN" w:bidi="ar-SA"/>
    </w:rPr>
  </w:style>
  <w:style w:type="paragraph" w:styleId="1656">
    <w:name w:val="1"/>
    <w:next w:val="1656"/>
    <w:link w:val="1655"/>
    <w:qFormat/>
    <w:rPr>
      <w:sz w:val="21"/>
      <w:szCs w:val="24"/>
      <w:lang w:val="zh-CN" w:eastAsia="zh-CN" w:bidi="ar-SA"/>
    </w:rPr>
  </w:style>
  <w:style w:type="paragraph" w:styleId="1657">
    <w:name w:val="图文"/>
    <w:basedOn w:val="1270"/>
    <w:next w:val="1657"/>
    <w:link w:val="1270"/>
    <w:qFormat/>
    <w:pPr>
      <w:spacing w:after="50" w:line="360" w:lineRule="auto"/>
    </w:pPr>
    <w:rPr>
      <w:sz w:val="24"/>
    </w:rPr>
  </w:style>
  <w:style w:type="paragraph" w:styleId="1658">
    <w:name w:val="xl23"/>
    <w:basedOn w:val="1270"/>
    <w:next w:val="1658"/>
    <w:link w:val="1270"/>
    <w:qFormat/>
    <w:pPr>
      <w:spacing w:before="100" w:beforeAutospacing="1" w:after="100" w:afterAutospacing="1" w:line="360" w:lineRule="auto"/>
      <w:widowControl/>
    </w:pPr>
    <w:rPr>
      <w:sz w:val="24"/>
      <w:szCs w:val="20"/>
    </w:rPr>
  </w:style>
  <w:style w:type="paragraph" w:styleId="1659">
    <w:name w:val="正文表格"/>
    <w:basedOn w:val="1270"/>
    <w:next w:val="1659"/>
    <w:link w:val="1660"/>
    <w:qFormat/>
    <w:pPr>
      <w:jc w:val="left"/>
    </w:pPr>
    <w:rPr>
      <w:rFonts w:ascii="宋体" w:hAnsi="宋体"/>
      <w:color w:val="000000"/>
      <w:szCs w:val="21"/>
    </w:rPr>
  </w:style>
  <w:style w:type="character" w:styleId="1660">
    <w:name w:val="正文表格 Char"/>
    <w:next w:val="1660"/>
    <w:link w:val="1659"/>
    <w:qFormat/>
    <w:rPr>
      <w:rFonts w:ascii="宋体" w:hAnsi="宋体"/>
      <w:color w:val="000000"/>
      <w:sz w:val="21"/>
      <w:szCs w:val="21"/>
    </w:rPr>
  </w:style>
  <w:style w:type="paragraph" w:styleId="1661">
    <w:name w:val="正文重点"/>
    <w:basedOn w:val="1270"/>
    <w:next w:val="1661"/>
    <w:link w:val="1662"/>
    <w:qFormat/>
    <w:pPr>
      <w:ind w:firstLine="482"/>
      <w:jc w:val="left"/>
      <w:spacing w:line="360" w:lineRule="auto"/>
    </w:pPr>
    <w:rPr>
      <w:b/>
      <w:sz w:val="24"/>
      <w:szCs w:val="20"/>
    </w:rPr>
  </w:style>
  <w:style w:type="character" w:styleId="1662">
    <w:name w:val="正文重点 Char"/>
    <w:next w:val="1662"/>
    <w:link w:val="1661"/>
    <w:qFormat/>
    <w:rPr>
      <w:b/>
      <w:sz w:val="24"/>
    </w:rPr>
  </w:style>
  <w:style w:type="paragraph" w:styleId="1663">
    <w:name w:val="标题1-附件"/>
    <w:basedOn w:val="1312"/>
    <w:next w:val="1663"/>
    <w:link w:val="1270"/>
    <w:qFormat/>
    <w:pPr>
      <w:jc w:val="left"/>
    </w:pPr>
    <w:rPr>
      <w:sz w:val="24"/>
      <w:szCs w:val="24"/>
    </w:rPr>
  </w:style>
  <w:style w:type="paragraph" w:styleId="1664">
    <w:name w:val="正文小标题"/>
    <w:basedOn w:val="1270"/>
    <w:next w:val="1482"/>
    <w:link w:val="1665"/>
    <w:qFormat/>
    <w:pPr>
      <w:ind w:firstLine="482"/>
      <w:jc w:val="left"/>
      <w:spacing w:before="312" w:after="312"/>
    </w:pPr>
    <w:rPr>
      <w:rFonts w:ascii="宋体" w:hAnsi="宋体"/>
      <w:b/>
      <w:i/>
      <w:color w:val="ff0000"/>
      <w:sz w:val="24"/>
      <w:szCs w:val="20"/>
    </w:rPr>
  </w:style>
  <w:style w:type="character" w:styleId="1665">
    <w:name w:val="正文小标题 Char"/>
    <w:next w:val="1665"/>
    <w:link w:val="1664"/>
    <w:qFormat/>
    <w:rPr>
      <w:rFonts w:ascii="宋体" w:hAnsi="宋体"/>
      <w:b/>
      <w:i/>
      <w:color w:val="ff0000"/>
      <w:sz w:val="24"/>
    </w:rPr>
  </w:style>
  <w:style w:type="paragraph" w:styleId="1666">
    <w:name w:val="正文大标题"/>
    <w:basedOn w:val="1664"/>
    <w:next w:val="1482"/>
    <w:link w:val="1667"/>
    <w:qFormat/>
    <w:pPr>
      <w:jc w:val="center"/>
    </w:pPr>
    <w:rPr>
      <w:i w:val="0"/>
      <w:color w:val="000000"/>
      <w:sz w:val="28"/>
      <w:szCs w:val="21"/>
    </w:rPr>
  </w:style>
  <w:style w:type="character" w:styleId="1667">
    <w:name w:val="正文大标题 Char"/>
    <w:next w:val="1667"/>
    <w:link w:val="1666"/>
    <w:qFormat/>
    <w:rPr>
      <w:rFonts w:ascii="宋体" w:hAnsi="宋体"/>
      <w:b/>
      <w:color w:val="000000"/>
      <w:sz w:val="28"/>
      <w:szCs w:val="21"/>
    </w:rPr>
  </w:style>
  <w:style w:type="paragraph" w:styleId="1668">
    <w:name w:val="注释"/>
    <w:basedOn w:val="1270"/>
    <w:next w:val="1668"/>
    <w:link w:val="1669"/>
    <w:qFormat/>
    <w:pPr>
      <w:ind w:left="420" w:hanging="420"/>
      <w:jc w:val="left"/>
    </w:pPr>
    <w:rPr>
      <w:rFonts w:ascii="宋体" w:hAnsi="宋体"/>
      <w:szCs w:val="21"/>
    </w:rPr>
  </w:style>
  <w:style w:type="character" w:styleId="1669">
    <w:name w:val="注释 Char"/>
    <w:next w:val="1669"/>
    <w:link w:val="1668"/>
    <w:qFormat/>
    <w:rPr>
      <w:rFonts w:ascii="宋体" w:hAnsi="宋体"/>
      <w:sz w:val="21"/>
      <w:szCs w:val="21"/>
    </w:rPr>
  </w:style>
  <w:style w:type="paragraph" w:styleId="1670">
    <w:name w:val="正文须知-1级"/>
    <w:basedOn w:val="1270"/>
    <w:next w:val="1270"/>
    <w:link w:val="1270"/>
    <w:qFormat/>
    <w:pPr>
      <w:numPr>
        <w:ilvl w:val="0"/>
        <w:numId w:val="7"/>
      </w:numPr>
      <w:spacing w:line="300" w:lineRule="auto"/>
    </w:pPr>
    <w:rPr>
      <w:rFonts w:ascii="宋体" w:hAnsi="Calibri"/>
      <w:sz w:val="24"/>
      <w:szCs w:val="21"/>
    </w:rPr>
  </w:style>
  <w:style w:type="paragraph" w:styleId="1671">
    <w:name w:val="正文须知-2级"/>
    <w:basedOn w:val="1270"/>
    <w:next w:val="1671"/>
    <w:link w:val="1270"/>
    <w:qFormat/>
    <w:pPr>
      <w:numPr>
        <w:ilvl w:val="1"/>
        <w:numId w:val="7"/>
      </w:numPr>
      <w:spacing w:line="300" w:lineRule="auto"/>
    </w:pPr>
    <w:rPr>
      <w:rFonts w:ascii="宋体" w:hAnsi="Calibri"/>
      <w:sz w:val="24"/>
      <w:szCs w:val="21"/>
    </w:rPr>
  </w:style>
  <w:style w:type="paragraph" w:styleId="1672">
    <w:name w:val="正文须知-3级"/>
    <w:basedOn w:val="1270"/>
    <w:next w:val="1672"/>
    <w:link w:val="1270"/>
    <w:qFormat/>
    <w:pPr>
      <w:numPr>
        <w:ilvl w:val="2"/>
        <w:numId w:val="7"/>
      </w:numPr>
      <w:ind w:hanging="355"/>
      <w:spacing w:line="300" w:lineRule="auto"/>
    </w:pPr>
    <w:rPr>
      <w:rFonts w:ascii="宋体" w:hAnsi="Calibri"/>
      <w:sz w:val="24"/>
      <w:szCs w:val="21"/>
    </w:rPr>
  </w:style>
  <w:style w:type="character" w:styleId="1673">
    <w:name w:val="纯文本 字符"/>
    <w:next w:val="1673"/>
    <w:link w:val="1270"/>
    <w:uiPriority w:val="99"/>
    <w:qFormat/>
    <w:rPr>
      <w:rFonts w:ascii="宋体" w:hAnsi="Courier New" w:eastAsia="宋体" w:cs="Times New Roman"/>
      <w:sz w:val="21"/>
      <w:szCs w:val="21"/>
      <w:lang w:val="en-US" w:eastAsia="zh-CN" w:bidi="ar-SA"/>
    </w:rPr>
  </w:style>
  <w:style w:type="paragraph" w:styleId="1674">
    <w:name w:val="表格1"/>
    <w:basedOn w:val="1270"/>
    <w:next w:val="1674"/>
    <w:link w:val="1270"/>
    <w:qFormat/>
    <w:pPr>
      <w:ind w:firstLine="480"/>
      <w:jc w:val="center"/>
    </w:pPr>
    <w:rPr>
      <w:sz w:val="24"/>
      <w:szCs w:val="20"/>
    </w:rPr>
  </w:style>
  <w:style w:type="character" w:styleId="1675">
    <w:name w:val="纯文本 字符1"/>
    <w:next w:val="1675"/>
    <w:link w:val="1270"/>
    <w:qFormat/>
    <w:rPr>
      <w:rFonts w:ascii="宋体" w:hAnsi="Courier New"/>
    </w:rPr>
  </w:style>
  <w:style w:type="character" w:styleId="1676">
    <w:name w:val="bjh-p"/>
    <w:next w:val="1676"/>
    <w:link w:val="1270"/>
    <w:qFormat/>
  </w:style>
  <w:style w:type="paragraph" w:styleId="1677">
    <w:name w:val="无标题条"/>
    <w:next w:val="1270"/>
    <w:link w:val="1270"/>
    <w:qFormat/>
    <w:pPr>
      <w:jc w:val="both"/>
    </w:pPr>
    <w:rPr>
      <w:sz w:val="21"/>
      <w:lang w:val="en-US" w:eastAsia="zh-CN" w:bidi="ar-SA"/>
    </w:rPr>
  </w:style>
  <w:style w:type="character" w:styleId="1678">
    <w:name w:val="正文格式 Char"/>
    <w:next w:val="1678"/>
    <w:link w:val="1679"/>
    <w:qFormat/>
    <w:rPr>
      <w:rFonts w:ascii="宋体" w:hAnsi="宋体"/>
      <w:sz w:val="24"/>
      <w:szCs w:val="24"/>
      <w:lang w:val="en-GB"/>
    </w:rPr>
  </w:style>
  <w:style w:type="paragraph" w:styleId="1679">
    <w:name w:val="正文格式"/>
    <w:basedOn w:val="1270"/>
    <w:next w:val="1679"/>
    <w:link w:val="1678"/>
    <w:qFormat/>
    <w:pPr>
      <w:ind w:firstLine="480"/>
      <w:spacing w:line="360" w:lineRule="auto"/>
    </w:pPr>
    <w:rPr>
      <w:rFonts w:ascii="宋体" w:hAnsi="宋体"/>
      <w:sz w:val="24"/>
      <w:lang w:val="en-GB"/>
    </w:rPr>
  </w:style>
  <w:style w:type="character" w:styleId="1680">
    <w:name w:val="标题 3 Char"/>
    <w:next w:val="1680"/>
    <w:link w:val="1270"/>
    <w:qFormat/>
    <w:rPr>
      <w:rFonts w:ascii="宋体" w:eastAsia="宋体"/>
      <w:b/>
      <w:sz w:val="24"/>
      <w:u w:val="single"/>
      <w:lang w:val="en-US" w:eastAsia="zh-CN" w:bidi="ar-SA"/>
    </w:rPr>
  </w:style>
  <w:style w:type="character" w:styleId="1681">
    <w:name w:val="正文缩进 Char"/>
    <w:next w:val="1681"/>
    <w:link w:val="1270"/>
    <w:qFormat/>
    <w:rPr>
      <w:rFonts w:ascii="宋体" w:eastAsia="宋体"/>
      <w:sz w:val="24"/>
      <w:szCs w:val="24"/>
      <w:lang w:val="en-US" w:eastAsia="zh-CN" w:bidi="ar-SA"/>
    </w:rPr>
  </w:style>
  <w:style w:type="character" w:styleId="1682">
    <w:name w:val="Char Char111"/>
    <w:next w:val="1682"/>
    <w:link w:val="1270"/>
    <w:qFormat/>
    <w:rPr>
      <w:rFonts w:ascii="宋体" w:eastAsia="宋体"/>
      <w:b/>
      <w:sz w:val="24"/>
      <w:u w:val="single"/>
      <w:lang w:val="en-US" w:eastAsia="zh-CN" w:bidi="ar-SA"/>
    </w:rPr>
  </w:style>
  <w:style w:type="character" w:styleId="1683">
    <w:name w:val="正文文本缩进 Char"/>
    <w:next w:val="1683"/>
    <w:link w:val="1270"/>
    <w:qFormat/>
    <w:rPr>
      <w:rFonts w:eastAsia="宋体"/>
      <w:sz w:val="24"/>
      <w:szCs w:val="24"/>
      <w:lang w:val="en-US" w:eastAsia="zh-CN" w:bidi="ar-SA"/>
    </w:rPr>
  </w:style>
  <w:style w:type="character" w:styleId="1684">
    <w:name w:val="列出段落 Char"/>
    <w:next w:val="1684"/>
    <w:link w:val="1270"/>
    <w:qFormat/>
    <w:rPr>
      <w:rFonts w:ascii="Calibri" w:hAnsi="Calibri" w:eastAsia="宋体"/>
      <w:sz w:val="21"/>
      <w:szCs w:val="22"/>
      <w:lang w:val="en-US" w:eastAsia="zh-CN" w:bidi="ar-SA"/>
    </w:rPr>
  </w:style>
  <w:style w:type="character" w:styleId="1685">
    <w:name w:val="页眉 Char"/>
    <w:next w:val="1685"/>
    <w:link w:val="1270"/>
    <w:qFormat/>
    <w:rPr>
      <w:rFonts w:eastAsia="宋体"/>
      <w:sz w:val="18"/>
      <w:szCs w:val="18"/>
      <w:lang w:val="en-US" w:eastAsia="zh-CN" w:bidi="ar-SA"/>
    </w:rPr>
  </w:style>
  <w:style w:type="paragraph" w:styleId="1686">
    <w:name w:val="字元 字元2"/>
    <w:basedOn w:val="1270"/>
    <w:next w:val="1686"/>
    <w:link w:val="1270"/>
    <w:qFormat/>
    <w:rPr>
      <w:rFonts w:ascii="Tahoma" w:hAnsi="Tahoma"/>
      <w:sz w:val="24"/>
      <w:szCs w:val="20"/>
    </w:rPr>
  </w:style>
  <w:style w:type="paragraph" w:styleId="1687">
    <w:name w:val="Char3 Char Char Char2"/>
    <w:basedOn w:val="1270"/>
    <w:next w:val="1687"/>
    <w:link w:val="1270"/>
    <w:qFormat/>
    <w:rPr>
      <w:rFonts w:ascii="Tahoma" w:hAnsi="Tahoma"/>
      <w:sz w:val="24"/>
      <w:szCs w:val="20"/>
    </w:rPr>
  </w:style>
  <w:style w:type="paragraph" w:styleId="1688">
    <w:name w:val="正文文本缩进2"/>
    <w:basedOn w:val="1270"/>
    <w:next w:val="1688"/>
    <w:link w:val="1270"/>
    <w:qFormat/>
    <w:pPr>
      <w:ind w:firstLine="480"/>
      <w:spacing w:line="480" w:lineRule="exact"/>
    </w:pPr>
    <w:rPr>
      <w:rFonts w:ascii="宋体" w:hAnsi="宋体"/>
      <w:sz w:val="24"/>
      <w:lang w:val="zh-CN" w:eastAsia="zh-CN"/>
    </w:rPr>
  </w:style>
  <w:style w:type="paragraph" w:styleId="1689">
    <w:name w:val="Char3"/>
    <w:basedOn w:val="1270"/>
    <w:next w:val="1689"/>
    <w:link w:val="1270"/>
    <w:qFormat/>
    <w:pPr>
      <w:tabs>
        <w:tab w:val="left" w:pos="360" w:leader="none"/>
      </w:tabs>
    </w:pPr>
    <w:rPr>
      <w:sz w:val="24"/>
    </w:rPr>
  </w:style>
  <w:style w:type="paragraph" w:styleId="1690">
    <w:name w:val="Char Char Char Char Char Char Char Char Char Char Char Char Char Char Char Char1"/>
    <w:basedOn w:val="1270"/>
    <w:next w:val="1690"/>
    <w:link w:val="1270"/>
    <w:qFormat/>
    <w:pPr>
      <w:jc w:val="center"/>
      <w:spacing w:after="160" w:line="240" w:lineRule="exact"/>
      <w:widowControl/>
    </w:pPr>
    <w:rPr>
      <w:rFonts w:ascii="宋体" w:hAnsi="宋体"/>
      <w:b/>
      <w:sz w:val="30"/>
      <w:szCs w:val="30"/>
      <w:lang w:eastAsia="en-US"/>
    </w:rPr>
  </w:style>
  <w:style w:type="paragraph" w:styleId="1691">
    <w:name w:val="Char Char1 Char Char Char Char Char Char1"/>
    <w:basedOn w:val="1270"/>
    <w:next w:val="1691"/>
    <w:link w:val="1270"/>
    <w:qFormat/>
    <w:pPr>
      <w:jc w:val="left"/>
      <w:spacing w:after="160" w:line="240" w:lineRule="exact"/>
      <w:widowControl/>
    </w:pPr>
    <w:rPr>
      <w:rFonts w:ascii="Verdana" w:hAnsi="Verdana" w:eastAsia="仿宋_GB2312"/>
      <w:sz w:val="24"/>
      <w:szCs w:val="20"/>
      <w:lang w:eastAsia="en-US"/>
    </w:rPr>
  </w:style>
  <w:style w:type="paragraph" w:styleId="1692">
    <w:name w:val="列出段落2"/>
    <w:basedOn w:val="1270"/>
    <w:next w:val="1692"/>
    <w:link w:val="1270"/>
    <w:qFormat/>
    <w:pPr>
      <w:ind w:firstLine="420"/>
    </w:pPr>
    <w:rPr>
      <w:rFonts w:ascii="Calibri" w:hAnsi="Calibri"/>
      <w:szCs w:val="22"/>
    </w:rPr>
  </w:style>
  <w:style w:type="paragraph" w:styleId="1693">
    <w:name w:val="Char Char Char1 Char2"/>
    <w:basedOn w:val="1270"/>
    <w:next w:val="1693"/>
    <w:link w:val="1270"/>
    <w:qFormat/>
    <w:rPr>
      <w:rFonts w:ascii="Tahoma" w:hAnsi="Tahoma"/>
      <w:sz w:val="24"/>
      <w:szCs w:val="20"/>
    </w:rPr>
  </w:style>
  <w:style w:type="paragraph" w:styleId="1694">
    <w:name w:val="Char Char Char2"/>
    <w:basedOn w:val="1270"/>
    <w:next w:val="1694"/>
    <w:link w:val="1270"/>
    <w:qFormat/>
    <w:rPr>
      <w:rFonts w:ascii="Tahoma" w:hAnsi="Tahoma"/>
      <w:sz w:val="24"/>
      <w:szCs w:val="20"/>
    </w:rPr>
  </w:style>
  <w:style w:type="paragraph" w:styleId="1695">
    <w:name w:val="Char Char Char Char Char Char Char2"/>
    <w:basedOn w:val="1270"/>
    <w:next w:val="1695"/>
    <w:link w:val="1270"/>
    <w:qFormat/>
    <w:pPr>
      <w:ind w:firstLine="200"/>
      <w:spacing w:line="360" w:lineRule="auto"/>
    </w:pPr>
    <w:rPr>
      <w:rFonts w:eastAsia="仿宋_GB2312"/>
      <w:sz w:val="24"/>
    </w:rPr>
  </w:style>
  <w:style w:type="paragraph" w:styleId="1696">
    <w:name w:val="正文缩进2"/>
    <w:basedOn w:val="1270"/>
    <w:next w:val="1696"/>
    <w:link w:val="1270"/>
    <w:qFormat/>
    <w:pPr>
      <w:ind w:firstLine="567"/>
      <w:spacing w:line="480" w:lineRule="exact"/>
      <w:widowControl/>
    </w:pPr>
    <w:rPr>
      <w:rFonts w:ascii="宋体"/>
      <w:color w:val="000000"/>
      <w:sz w:val="28"/>
      <w:szCs w:val="20"/>
      <w:lang w:val="zh-CN" w:eastAsia="zh-CN"/>
    </w:rPr>
  </w:style>
  <w:style w:type="paragraph" w:styleId="1697">
    <w:name w:val="修订1"/>
    <w:next w:val="1697"/>
    <w:link w:val="1270"/>
    <w:qFormat/>
    <w:rPr>
      <w:sz w:val="21"/>
      <w:szCs w:val="24"/>
      <w:lang w:val="en-US" w:eastAsia="zh-CN" w:bidi="ar-SA"/>
    </w:rPr>
  </w:style>
  <w:style w:type="paragraph" w:styleId="1698">
    <w:name w:val="Char22"/>
    <w:basedOn w:val="1270"/>
    <w:next w:val="1698"/>
    <w:link w:val="1270"/>
    <w:qFormat/>
    <w:rPr>
      <w:rFonts w:ascii="Tahoma" w:hAnsi="Tahoma"/>
      <w:sz w:val="24"/>
      <w:szCs w:val="20"/>
    </w:rPr>
  </w:style>
  <w:style w:type="paragraph" w:styleId="1699">
    <w:name w:val="Char Char Char Char Char Char Char Char Char Char2"/>
    <w:basedOn w:val="1270"/>
    <w:next w:val="1699"/>
    <w:link w:val="1270"/>
    <w:qFormat/>
    <w:rPr>
      <w:rFonts w:ascii="宋体" w:hAnsi="宋体" w:cs="Courier New"/>
      <w:sz w:val="32"/>
      <w:szCs w:val="32"/>
    </w:rPr>
  </w:style>
  <w:style w:type="paragraph" w:styleId="1700">
    <w:name w:val="Char2 Char Char Char Char Char Char1"/>
    <w:basedOn w:val="1270"/>
    <w:next w:val="1700"/>
    <w:link w:val="1270"/>
    <w:qFormat/>
    <w:pPr>
      <w:jc w:val="center"/>
      <w:spacing w:line="400" w:lineRule="exact"/>
      <w:widowControl/>
    </w:pPr>
  </w:style>
  <w:style w:type="character" w:styleId="1701">
    <w:name w:val="页脚 Char"/>
    <w:next w:val="1701"/>
    <w:link w:val="1270"/>
    <w:qFormat/>
    <w:rPr>
      <w:rFonts w:ascii="宋体" w:eastAsia="宋体"/>
      <w:sz w:val="18"/>
      <w:lang w:val="en-US" w:eastAsia="zh-CN" w:bidi="ar-SA"/>
    </w:rPr>
  </w:style>
  <w:style w:type="paragraph" w:styleId="1702">
    <w:name w:val="Char Char41"/>
    <w:basedOn w:val="1270"/>
    <w:next w:val="1702"/>
    <w:link w:val="1270"/>
    <w:qFormat/>
    <w:pPr>
      <w:jc w:val="center"/>
      <w:spacing w:line="400" w:lineRule="exact"/>
      <w:widowControl/>
    </w:pPr>
  </w:style>
  <w:style w:type="character" w:styleId="1703">
    <w:name w:val="批注文字 Char"/>
    <w:next w:val="1703"/>
    <w:link w:val="1270"/>
    <w:uiPriority w:val="99"/>
    <w:qFormat/>
    <w:rPr>
      <w:sz w:val="21"/>
      <w:szCs w:val="24"/>
    </w:rPr>
  </w:style>
  <w:style w:type="character" w:styleId="1704">
    <w:name w:val="标题 Char"/>
    <w:next w:val="1704"/>
    <w:link w:val="1270"/>
    <w:qFormat/>
    <w:rPr>
      <w:b/>
      <w:sz w:val="32"/>
    </w:rPr>
  </w:style>
  <w:style w:type="paragraph" w:styleId="1705">
    <w:name w:val="图例"/>
    <w:basedOn w:val="1270"/>
    <w:next w:val="1705"/>
    <w:link w:val="1270"/>
    <w:qFormat/>
    <w:pPr>
      <w:jc w:val="center"/>
      <w:spacing w:before="120" w:after="120" w:line="360" w:lineRule="auto"/>
    </w:pPr>
    <w:rPr>
      <w:rFonts w:eastAsia="仿宋_GB2312"/>
      <w:b/>
      <w:sz w:val="24"/>
      <w:szCs w:val="20"/>
    </w:rPr>
  </w:style>
  <w:style w:type="paragraph" w:styleId="1706">
    <w:name w:val="Table Paragraph"/>
    <w:basedOn w:val="1270"/>
    <w:next w:val="1706"/>
    <w:link w:val="1270"/>
    <w:uiPriority w:val="1"/>
    <w:qFormat/>
    <w:pPr>
      <w:jc w:val="left"/>
    </w:pPr>
    <w:rPr>
      <w:rFonts w:ascii="宋体" w:hAnsi="宋体" w:cs="宋体"/>
      <w:sz w:val="22"/>
      <w:szCs w:val="22"/>
      <w:lang w:eastAsia="en-US"/>
    </w:rPr>
  </w:style>
  <w:style w:type="table" w:styleId="1707">
    <w:name w:val="Table Normal"/>
    <w:next w:val="1707"/>
    <w:link w:val="1270"/>
    <w:uiPriority w:val="2"/>
    <w:semiHidden/>
    <w:qFormat/>
    <w:pPr>
      <w:widowControl w:val="off"/>
    </w:pPr>
    <w:rPr>
      <w:rFonts w:ascii="Calibri" w:hAnsi="Calibri"/>
      <w:sz w:val="22"/>
      <w:szCs w:val="22"/>
      <w:lang w:val="en-US" w:eastAsia="en-US" w:bidi="ar-SA"/>
    </w:rPr>
    <w:tblPr/>
  </w:style>
  <w:style w:type="paragraph" w:styleId="1708">
    <w:name w:val="成文日期"/>
    <w:basedOn w:val="1270"/>
    <w:next w:val="1708"/>
    <w:link w:val="1709"/>
    <w:qFormat/>
    <w:pPr>
      <w:ind w:right="400" w:firstLine="200"/>
      <w:jc w:val="right"/>
      <w:spacing w:line="570" w:lineRule="exact"/>
    </w:pPr>
    <w:rPr>
      <w:rFonts w:ascii="仿宋_GB2312" w:eastAsia="仿宋_GB2312"/>
      <w:sz w:val="32"/>
      <w:szCs w:val="20"/>
    </w:rPr>
  </w:style>
  <w:style w:type="character" w:styleId="1709">
    <w:name w:val="成文日期 Char"/>
    <w:next w:val="1709"/>
    <w:link w:val="1708"/>
    <w:rPr>
      <w:rFonts w:ascii="仿宋_GB2312" w:eastAsia="仿宋_GB2312"/>
      <w:sz w:val="32"/>
    </w:rPr>
  </w:style>
  <w:style w:type="character" w:styleId="1710">
    <w:name w:val="font31"/>
    <w:next w:val="1710"/>
    <w:link w:val="1270"/>
    <w:qFormat/>
    <w:rPr>
      <w:rFonts w:ascii="仿宋" w:hAnsi="仿宋" w:eastAsia="仿宋" w:cs="仿宋"/>
      <w:b/>
      <w:bCs/>
      <w:color w:val="000000"/>
      <w:sz w:val="24"/>
      <w:szCs w:val="24"/>
      <w:u w:val="none"/>
    </w:rPr>
  </w:style>
  <w:style w:type="character" w:styleId="1711">
    <w:name w:val="font61"/>
    <w:next w:val="1711"/>
    <w:link w:val="1270"/>
    <w:qFormat/>
    <w:rPr>
      <w:rFonts w:hint="eastAsia" w:ascii="仿宋" w:hAnsi="仿宋" w:eastAsia="仿宋" w:cs="仿宋"/>
      <w:b/>
      <w:bCs/>
      <w:color w:val="000000"/>
      <w:sz w:val="24"/>
      <w:szCs w:val="24"/>
      <w:u w:val="none"/>
    </w:rPr>
  </w:style>
  <w:style w:type="character" w:styleId="1712">
    <w:name w:val="font41"/>
    <w:next w:val="1712"/>
    <w:link w:val="1270"/>
    <w:qFormat/>
    <w:rPr>
      <w:rFonts w:hint="eastAsia" w:ascii="仿宋" w:hAnsi="仿宋" w:eastAsia="仿宋" w:cs="仿宋"/>
      <w:color w:val="000000"/>
      <w:sz w:val="22"/>
      <w:szCs w:val="22"/>
      <w:u w:val="none"/>
    </w:rPr>
  </w:style>
  <w:style w:type="paragraph" w:styleId="1713">
    <w:name w:val="索引 11"/>
    <w:basedOn w:val="1270"/>
    <w:next w:val="1270"/>
    <w:link w:val="1270"/>
    <w:qFormat/>
    <w:pPr>
      <w:spacing w:line="360" w:lineRule="auto"/>
    </w:pPr>
    <w:rPr>
      <w:rFonts w:ascii="仿宋_GB2312" w:eastAsia="仿宋_GB2312"/>
      <w:sz w:val="24"/>
      <w:szCs w:val="20"/>
    </w:rPr>
  </w:style>
  <w:style w:type="paragraph" w:styleId="1714">
    <w:name w:val="纯文本1"/>
    <w:basedOn w:val="1270"/>
    <w:next w:val="1714"/>
    <w:link w:val="1270"/>
    <w:qFormat/>
    <w:rPr>
      <w:rFonts w:ascii="宋体" w:hAnsi="Courier New" w:cs="Times New Roman"/>
      <w:szCs w:val="22"/>
    </w:rPr>
  </w:style>
  <w:style w:type="character" w:styleId="1715">
    <w:name w:val="NormalCharacter1"/>
    <w:next w:val="1715"/>
    <w:link w:val="1270"/>
    <w:semiHidden/>
    <w:qFormat/>
    <w:rPr>
      <w:rFonts w:ascii="Calibri" w:hAnsi="Calibri" w:eastAsia="宋体" w:cs="Times New Roman"/>
      <w:sz w:val="21"/>
      <w:szCs w:val="24"/>
      <w:lang w:val="en-US" w:eastAsia="zh-CN" w:bidi="ar-SA"/>
    </w:rPr>
  </w:style>
  <w:style w:type="paragraph" w:styleId="1716">
    <w:name w:val="无间隔1"/>
    <w:next w:val="1716"/>
    <w:link w:val="1270"/>
    <w:uiPriority w:val="1"/>
    <w:qFormat/>
    <w:pPr>
      <w:jc w:val="both"/>
      <w:spacing w:line="360" w:lineRule="auto"/>
      <w:widowControl w:val="off"/>
    </w:pPr>
    <w:rPr>
      <w:sz w:val="24"/>
      <w:lang w:val="en-US" w:eastAsia="zh-CN" w:bidi="ar-SA"/>
    </w:rPr>
  </w:style>
  <w:style w:type="paragraph" w:styleId="1717">
    <w:name w:val="首行缩进"/>
    <w:basedOn w:val="1270"/>
    <w:next w:val="1717"/>
    <w:link w:val="1270"/>
    <w:qFormat/>
    <w:pPr>
      <w:ind w:firstLine="480"/>
    </w:pPr>
    <w:rPr>
      <w:lang w:val="zh-CN"/>
    </w:rPr>
  </w:style>
  <w:style w:type="character" w:styleId="1718">
    <w:name w:val="font21"/>
    <w:next w:val="1718"/>
    <w:link w:val="1270"/>
    <w:qFormat/>
    <w:rPr>
      <w:rFonts w:hint="eastAsia" w:ascii="宋体" w:hAnsi="宋体" w:eastAsia="宋体" w:cs="宋体"/>
      <w:color w:val="161616"/>
      <w:sz w:val="22"/>
      <w:szCs w:val="22"/>
      <w:u w:val="none"/>
    </w:rPr>
  </w:style>
  <w:style w:type="paragraph" w:styleId="1719">
    <w:name w:val="正文11"/>
    <w:next w:val="1720"/>
    <w:link w:val="1270"/>
    <w:qFormat/>
    <w:pPr>
      <w:jc w:val="both"/>
      <w:widowControl w:val="off"/>
    </w:pPr>
    <w:rPr>
      <w:sz w:val="21"/>
      <w:szCs w:val="24"/>
      <w:lang w:val="en-US" w:eastAsia="zh-CN" w:bidi="ar-SA"/>
    </w:rPr>
  </w:style>
  <w:style w:type="paragraph" w:styleId="1720">
    <w:name w:val="脚注文本11"/>
    <w:basedOn w:val="1719"/>
    <w:next w:val="1270"/>
    <w:link w:val="1270"/>
    <w:qFormat/>
    <w:pPr>
      <w:jc w:val="left"/>
    </w:pPr>
    <w:rPr>
      <w:rFonts w:ascii="宋体" w:eastAsia="Times New Roman"/>
      <w:sz w:val="18"/>
      <w:szCs w:val="18"/>
    </w:rPr>
  </w:style>
  <w:style w:type="paragraph" w:styleId="1721">
    <w:name w:val="表格"/>
    <w:next w:val="1721"/>
    <w:link w:val="1270"/>
    <w:qFormat/>
    <w:pPr>
      <w:jc w:val="center"/>
      <w:widowControl w:val="off"/>
    </w:pPr>
    <w:rPr>
      <w:rFonts w:ascii="宋体" w:hAnsi="宋体"/>
      <w:sz w:val="21"/>
      <w:szCs w:val="21"/>
      <w:lang w:val="en-US" w:eastAsia="zh-CN" w:bidi="ar-SA"/>
    </w:rPr>
  </w:style>
  <w:style w:type="paragraph" w:styleId="1722">
    <w:name w:val="Table Text"/>
    <w:basedOn w:val="1270"/>
    <w:next w:val="1722"/>
    <w:link w:val="1270"/>
    <w:semiHidden/>
    <w:qFormat/>
    <w:rPr>
      <w:rFonts w:ascii="宋体" w:hAnsi="宋体" w:eastAsia="宋体" w:cs="宋体"/>
      <w:sz w:val="24"/>
      <w:szCs w:val="24"/>
      <w:lang w:val="en-US" w:eastAsia="en-US" w:bidi="ar-SA"/>
    </w:rPr>
  </w:style>
  <w:style w:type="paragraph" w:styleId="1723">
    <w:name w:val="修订"/>
    <w:next w:val="1723"/>
    <w:link w:val="1270"/>
    <w:uiPriority w:val="99"/>
    <w:unhideWhenUsed/>
    <w:rPr>
      <w:sz w:val="21"/>
      <w:szCs w:val="24"/>
      <w:lang w:val="en-US" w:eastAsia="zh-CN" w:bidi="ar-SA"/>
    </w:rPr>
  </w:style>
  <w:style w:type="paragraph" w:styleId="1724">
    <w:name w:val="段"/>
    <w:next w:val="1270"/>
    <w:link w:val="1270"/>
    <w:qFormat/>
    <w:pPr>
      <w:ind w:firstLine="200"/>
      <w:jc w:val="both"/>
      <w:spacing w:line="360" w:lineRule="auto"/>
    </w:pPr>
    <w:rPr>
      <w:rFonts w:ascii="宋体" w:hAnsi="Calibri"/>
      <w:sz w:val="24"/>
      <w:szCs w:val="22"/>
      <w:lang w:val="en-US" w:eastAsia="zh-CN" w:bidi="ar-SA"/>
    </w:rPr>
  </w:style>
  <w:style w:type="paragraph" w:styleId="1725">
    <w:name w:val="列出段落111"/>
    <w:basedOn w:val="1270"/>
    <w:next w:val="1725"/>
    <w:link w:val="1270"/>
    <w:qFormat/>
    <w:pPr>
      <w:ind w:firstLine="420"/>
    </w:pPr>
    <w:rPr>
      <w:rFonts w:ascii="Calibri" w:hAnsi="Calibri"/>
      <w:szCs w:val="20"/>
    </w:rPr>
  </w:style>
  <w:style w:type="paragraph" w:styleId="1726">
    <w:name w:val="表内文字"/>
    <w:basedOn w:val="1270"/>
    <w:next w:val="1726"/>
    <w:link w:val="1270"/>
    <w:qFormat/>
    <w:pPr>
      <w:jc w:val="center"/>
      <w:spacing w:before="50" w:after="50"/>
    </w:pPr>
    <w:rPr>
      <w:rFonts w:ascii="宋体" w:hAnsi="宋体" w:cs="宋体"/>
      <w:sz w:val="24"/>
      <w:szCs w:val="20"/>
      <w:lang w:val="zh-CN" w:bidi="zh-CN"/>
    </w:rPr>
  </w:style>
  <w:style w:type="character" w:styleId="1727" w:default="1">
    <w:name w:val="Default Paragraph Font"/>
    <w:uiPriority w:val="1"/>
    <w:semiHidden/>
    <w:unhideWhenUsed/>
  </w:style>
  <w:style w:type="numbering" w:styleId="1728" w:default="1">
    <w:name w:val="No List"/>
    <w:uiPriority w:val="99"/>
    <w:semiHidden/>
    <w:unhideWhenUsed/>
  </w:style>
  <w:style w:type="table" w:styleId="17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jpg"/></Relationships>
</file>

<file path=word/_rels/header2.xml.rels><?xml version="1.0" encoding="UTF-8" standalone="yes"?><Relationships xmlns="http://schemas.openxmlformats.org/package/2006/relationships"><Relationship Id="rId1" Type="http://schemas.openxmlformats.org/officeDocument/2006/relationships/image" Target="media/image3.jpg"/></Relationships>
</file>

<file path=word/_rels/header3.xml.rels><?xml version="1.0" encoding="UTF-8" standalone="yes"?><Relationships xmlns="http://schemas.openxmlformats.org/package/2006/relationships"><Relationship Id="rId1" Type="http://schemas.openxmlformats.org/officeDocument/2006/relationships/image" Target="media/image4.jpg"/><Relationship Id="rId2" Type="http://schemas.openxmlformats.org/officeDocument/2006/relationships/image" Target="media/image5.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dc:title>
  <dc:creator>Yi</dc:creator>
  <cp:lastModifiedBy>沈裕杰</cp:lastModifiedBy>
  <cp:revision>5</cp:revision>
  <dcterms:created xsi:type="dcterms:W3CDTF">2026-01-10T08:29:00Z</dcterms:created>
  <dcterms:modified xsi:type="dcterms:W3CDTF">2026-02-27T03:15:19Z</dcterms:modified>
</cp:coreProperties>
</file>